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4A0" w:rsidRPr="00683606" w:rsidRDefault="00CC04A0" w:rsidP="00CC04A0">
      <w:pPr>
        <w:spacing w:after="0"/>
        <w:jc w:val="center"/>
        <w:rPr>
          <w:rFonts w:asciiTheme="majorHAnsi" w:hAnsiTheme="majorHAnsi" w:cs="Times New Roman"/>
        </w:rPr>
      </w:pPr>
      <w:r w:rsidRPr="00683606">
        <w:rPr>
          <w:rFonts w:asciiTheme="majorHAnsi" w:hAnsiTheme="majorHAnsi" w:cs="Times New Roman"/>
        </w:rPr>
        <w:t>General Principles Regarding Workplace Solicitation</w:t>
      </w:r>
    </w:p>
    <w:p w:rsidR="00CC04A0" w:rsidRPr="00683606" w:rsidRDefault="00CC04A0" w:rsidP="00CC04A0">
      <w:pPr>
        <w:spacing w:after="0" w:line="240" w:lineRule="auto"/>
        <w:jc w:val="center"/>
        <w:rPr>
          <w:rFonts w:asciiTheme="majorHAnsi" w:hAnsiTheme="majorHAnsi" w:cs="Times New Roman"/>
        </w:rPr>
      </w:pPr>
      <w:r w:rsidRPr="00683606">
        <w:rPr>
          <w:rFonts w:asciiTheme="majorHAnsi" w:hAnsiTheme="majorHAnsi" w:cs="Times New Roman"/>
        </w:rPr>
        <w:t>August 29, 2013</w:t>
      </w:r>
    </w:p>
    <w:p w:rsidR="00CC04A0" w:rsidRPr="00683606" w:rsidRDefault="00CC04A0" w:rsidP="00CC04A0">
      <w:pPr>
        <w:jc w:val="center"/>
        <w:rPr>
          <w:rFonts w:asciiTheme="majorHAnsi" w:hAnsiTheme="majorHAnsi" w:cs="Times New Roman"/>
        </w:rPr>
      </w:pPr>
    </w:p>
    <w:p w:rsidR="00CC04A0" w:rsidRPr="00683606" w:rsidRDefault="00CC04A0" w:rsidP="00CC04A0">
      <w:pPr>
        <w:rPr>
          <w:rFonts w:asciiTheme="majorHAnsi" w:hAnsiTheme="majorHAnsi" w:cs="Times New Roman"/>
        </w:rPr>
      </w:pPr>
      <w:r w:rsidRPr="00683606">
        <w:rPr>
          <w:rFonts w:asciiTheme="majorHAnsi" w:hAnsiTheme="majorHAnsi" w:cs="Times New Roman"/>
        </w:rPr>
        <w:t>Many employers maintain a written policy addressing solicitation of employees in the workplace.</w:t>
      </w:r>
    </w:p>
    <w:p w:rsidR="00CC04A0" w:rsidRPr="00683606" w:rsidRDefault="00CC04A0" w:rsidP="00CC04A0">
      <w:pPr>
        <w:rPr>
          <w:rFonts w:asciiTheme="majorHAnsi" w:hAnsiTheme="majorHAnsi" w:cs="Times New Roman"/>
        </w:rPr>
      </w:pPr>
      <w:r w:rsidRPr="00683606">
        <w:rPr>
          <w:rFonts w:asciiTheme="majorHAnsi" w:hAnsiTheme="majorHAnsi" w:cs="Times New Roman"/>
        </w:rPr>
        <w:t xml:space="preserve">The NLRA regulates these policies because they could be used improperly to limit union organizing activity. </w:t>
      </w:r>
    </w:p>
    <w:p w:rsidR="00CC04A0" w:rsidRPr="00683606" w:rsidRDefault="00CC04A0" w:rsidP="00CC04A0">
      <w:pPr>
        <w:rPr>
          <w:rFonts w:asciiTheme="majorHAnsi" w:hAnsiTheme="majorHAnsi" w:cs="Times New Roman"/>
        </w:rPr>
      </w:pPr>
      <w:r w:rsidRPr="00683606">
        <w:rPr>
          <w:rFonts w:asciiTheme="majorHAnsi" w:hAnsiTheme="majorHAnsi" w:cs="Times New Roman"/>
        </w:rPr>
        <w:t xml:space="preserve">To pass muster under the NLRA, a no-solicitation policy: </w:t>
      </w:r>
    </w:p>
    <w:p w:rsidR="00CC04A0" w:rsidRPr="00683606" w:rsidRDefault="00CC04A0" w:rsidP="00CC04A0">
      <w:pPr>
        <w:tabs>
          <w:tab w:val="left" w:pos="720"/>
        </w:tabs>
        <w:ind w:left="720"/>
        <w:rPr>
          <w:rFonts w:asciiTheme="majorHAnsi" w:hAnsiTheme="majorHAnsi" w:cs="Times New Roman"/>
        </w:rPr>
      </w:pPr>
      <w:r w:rsidRPr="00683606">
        <w:rPr>
          <w:rFonts w:asciiTheme="majorHAnsi" w:hAnsiTheme="majorHAnsi" w:cs="Times New Roman"/>
        </w:rPr>
        <w:t>Must permit solicitation between employees during non-working time (</w:t>
      </w:r>
      <w:r w:rsidRPr="00683606">
        <w:rPr>
          <w:rFonts w:asciiTheme="majorHAnsi" w:hAnsiTheme="majorHAnsi" w:cs="Times New Roman"/>
          <w:i/>
        </w:rPr>
        <w:t>e.g.</w:t>
      </w:r>
      <w:r w:rsidRPr="00683606">
        <w:rPr>
          <w:rFonts w:asciiTheme="majorHAnsi" w:hAnsiTheme="majorHAnsi" w:cs="Times New Roman"/>
        </w:rPr>
        <w:t xml:space="preserve">, breaks, meal periods, before or after scheduled work shifts.) Both employees (the one doing the solicitation and the one being solicited) must be on non-working time. </w:t>
      </w:r>
    </w:p>
    <w:p w:rsidR="00CC04A0" w:rsidRPr="00683606" w:rsidRDefault="00CC04A0" w:rsidP="00CC04A0">
      <w:pPr>
        <w:tabs>
          <w:tab w:val="left" w:pos="720"/>
        </w:tabs>
        <w:ind w:left="720"/>
        <w:rPr>
          <w:rFonts w:asciiTheme="majorHAnsi" w:hAnsiTheme="majorHAnsi" w:cs="Times New Roman"/>
        </w:rPr>
      </w:pPr>
      <w:r w:rsidRPr="00683606">
        <w:rPr>
          <w:rFonts w:asciiTheme="majorHAnsi" w:hAnsiTheme="majorHAnsi" w:cs="Times New Roman"/>
        </w:rPr>
        <w:t xml:space="preserve">Must permit solicitation in a working area, unless the working area might qualify as a “patient care area” in the case of a nursing home, acute care, or similar patient treatment environment. Solicitation may be prohibited in a “patient care area.” </w:t>
      </w:r>
    </w:p>
    <w:p w:rsidR="00CC04A0" w:rsidRPr="00683606" w:rsidRDefault="00CC04A0" w:rsidP="00CC04A0">
      <w:pPr>
        <w:tabs>
          <w:tab w:val="left" w:pos="720"/>
        </w:tabs>
        <w:ind w:left="720"/>
        <w:rPr>
          <w:rFonts w:asciiTheme="majorHAnsi" w:hAnsiTheme="majorHAnsi" w:cs="Times New Roman"/>
        </w:rPr>
      </w:pPr>
      <w:r w:rsidRPr="00683606">
        <w:rPr>
          <w:rFonts w:asciiTheme="majorHAnsi" w:hAnsiTheme="majorHAnsi" w:cs="Times New Roman"/>
        </w:rPr>
        <w:t xml:space="preserve">Must </w:t>
      </w:r>
      <w:r w:rsidRPr="00683606">
        <w:rPr>
          <w:rFonts w:asciiTheme="majorHAnsi" w:hAnsiTheme="majorHAnsi" w:cs="Times New Roman"/>
          <w:u w:val="single"/>
        </w:rPr>
        <w:t>not</w:t>
      </w:r>
      <w:r w:rsidRPr="00683606">
        <w:rPr>
          <w:rFonts w:asciiTheme="majorHAnsi" w:hAnsiTheme="majorHAnsi" w:cs="Times New Roman"/>
        </w:rPr>
        <w:t xml:space="preserve"> reference “company time” or similar formulations, but must instead refer to “working time.” </w:t>
      </w:r>
    </w:p>
    <w:p w:rsidR="00CC04A0" w:rsidRPr="00683606" w:rsidRDefault="00CC04A0" w:rsidP="00CC04A0">
      <w:pPr>
        <w:rPr>
          <w:rFonts w:asciiTheme="majorHAnsi" w:hAnsiTheme="majorHAnsi" w:cs="Times New Roman"/>
        </w:rPr>
      </w:pPr>
      <w:r w:rsidRPr="00683606">
        <w:rPr>
          <w:rFonts w:asciiTheme="majorHAnsi" w:hAnsiTheme="majorHAnsi" w:cs="Times New Roman"/>
        </w:rPr>
        <w:t>Separate rules regulate no-distribution policies (</w:t>
      </w:r>
      <w:r w:rsidRPr="00683606">
        <w:rPr>
          <w:rFonts w:asciiTheme="majorHAnsi" w:hAnsiTheme="majorHAnsi" w:cs="Times New Roman"/>
          <w:i/>
        </w:rPr>
        <w:t>e.g.,</w:t>
      </w:r>
      <w:r w:rsidRPr="00683606">
        <w:rPr>
          <w:rFonts w:asciiTheme="majorHAnsi" w:hAnsiTheme="majorHAnsi" w:cs="Times New Roman"/>
        </w:rPr>
        <w:t xml:space="preserve"> handing out fliers), which are slightly different than no-solicitation rules. </w:t>
      </w:r>
    </w:p>
    <w:p w:rsidR="00CC04A0" w:rsidRPr="00683606" w:rsidRDefault="00CC04A0" w:rsidP="00CC04A0">
      <w:pPr>
        <w:rPr>
          <w:rFonts w:asciiTheme="majorHAnsi" w:hAnsiTheme="majorHAnsi" w:cs="Times New Roman"/>
        </w:rPr>
      </w:pPr>
      <w:r w:rsidRPr="00683606">
        <w:rPr>
          <w:rFonts w:asciiTheme="majorHAnsi" w:hAnsiTheme="majorHAnsi" w:cs="Times New Roman"/>
        </w:rPr>
        <w:t>Employers may not “discriminate” against union solicitation in the application of their no-solicitation policy (</w:t>
      </w:r>
      <w:r w:rsidRPr="00683606">
        <w:rPr>
          <w:rFonts w:asciiTheme="majorHAnsi" w:hAnsiTheme="majorHAnsi" w:cs="Times New Roman"/>
          <w:i/>
        </w:rPr>
        <w:t>e.g</w:t>
      </w:r>
      <w:r w:rsidRPr="00683606">
        <w:rPr>
          <w:rFonts w:asciiTheme="majorHAnsi" w:hAnsiTheme="majorHAnsi" w:cs="Times New Roman"/>
        </w:rPr>
        <w:t xml:space="preserve">., permit solicitation for some causes, but not for union membership). </w:t>
      </w:r>
    </w:p>
    <w:p w:rsidR="00CC04A0" w:rsidRPr="00683606" w:rsidRDefault="00CC04A0" w:rsidP="00CC04A0">
      <w:pPr>
        <w:rPr>
          <w:rFonts w:asciiTheme="majorHAnsi" w:hAnsiTheme="majorHAnsi" w:cs="Times New Roman"/>
        </w:rPr>
      </w:pPr>
      <w:r w:rsidRPr="00683606">
        <w:rPr>
          <w:rFonts w:asciiTheme="majorHAnsi" w:hAnsiTheme="majorHAnsi" w:cs="Times New Roman"/>
        </w:rPr>
        <w:t>Employers may ban third parties from soliciting anywhere on their proper</w:t>
      </w:r>
      <w:r w:rsidR="006970D1" w:rsidRPr="00683606">
        <w:rPr>
          <w:rFonts w:asciiTheme="majorHAnsi" w:hAnsiTheme="majorHAnsi" w:cs="Times New Roman"/>
        </w:rPr>
        <w:t>t</w:t>
      </w:r>
      <w:r w:rsidRPr="00683606">
        <w:rPr>
          <w:rFonts w:asciiTheme="majorHAnsi" w:hAnsiTheme="majorHAnsi" w:cs="Times New Roman"/>
        </w:rPr>
        <w:t>y, but may not enforce this ban in a discriminatory manner (</w:t>
      </w:r>
      <w:r w:rsidRPr="00683606">
        <w:rPr>
          <w:rFonts w:asciiTheme="majorHAnsi" w:hAnsiTheme="majorHAnsi" w:cs="Times New Roman"/>
          <w:i/>
        </w:rPr>
        <w:t>e.g</w:t>
      </w:r>
      <w:r w:rsidRPr="00683606">
        <w:rPr>
          <w:rFonts w:asciiTheme="majorHAnsi" w:hAnsiTheme="majorHAnsi" w:cs="Times New Roman"/>
        </w:rPr>
        <w:t xml:space="preserve">., permit some third parties but not others to solicit). </w:t>
      </w:r>
    </w:p>
    <w:p w:rsidR="00683606" w:rsidRPr="00683606" w:rsidRDefault="00AF3D27" w:rsidP="00CC04A0">
      <w:pPr>
        <w:rPr>
          <w:rFonts w:asciiTheme="majorHAnsi" w:hAnsiTheme="majorHAnsi" w:cs="Times New Roman"/>
        </w:rPr>
      </w:pPr>
      <w:r>
        <w:rPr>
          <w:rFonts w:asciiTheme="majorHAnsi" w:hAnsiTheme="majorHAnsi" w:cs="Calibri"/>
        </w:rPr>
        <w:t>The participation</w:t>
      </w:r>
      <w:r w:rsidR="00683606" w:rsidRPr="00683606">
        <w:rPr>
          <w:rFonts w:asciiTheme="majorHAnsi" w:hAnsiTheme="majorHAnsi" w:cs="Calibri"/>
        </w:rPr>
        <w:t xml:space="preserve"> in the Medicaid expansi</w:t>
      </w:r>
      <w:r>
        <w:rPr>
          <w:rFonts w:asciiTheme="majorHAnsi" w:hAnsiTheme="majorHAnsi" w:cs="Calibri"/>
        </w:rPr>
        <w:t xml:space="preserve">on petition circulation effort would probably constitute lobbying for a </w:t>
      </w:r>
      <w:r w:rsidRPr="00683606">
        <w:rPr>
          <w:rFonts w:asciiTheme="majorHAnsi" w:hAnsiTheme="majorHAnsi" w:cs="Calibri"/>
        </w:rPr>
        <w:t>501(c)(3) organization</w:t>
      </w:r>
      <w:r>
        <w:rPr>
          <w:rFonts w:asciiTheme="majorHAnsi" w:hAnsiTheme="majorHAnsi" w:cs="Calibri"/>
        </w:rPr>
        <w:t xml:space="preserve">.  </w:t>
      </w:r>
      <w:r w:rsidR="006E076A">
        <w:rPr>
          <w:rFonts w:asciiTheme="majorHAnsi" w:hAnsiTheme="majorHAnsi" w:cs="Calibri"/>
        </w:rPr>
        <w:t>T</w:t>
      </w:r>
      <w:r w:rsidR="00683606" w:rsidRPr="00683606">
        <w:rPr>
          <w:rFonts w:asciiTheme="majorHAnsi" w:hAnsiTheme="majorHAnsi" w:cs="Calibri"/>
        </w:rPr>
        <w:t xml:space="preserve">here are restrictions on the how much lobbying a 501(c)(3) can perform without jeopardizing its exempt status or potentially incurring an excise tax.  What those </w:t>
      </w:r>
      <w:proofErr w:type="gramStart"/>
      <w:r w:rsidR="00683606" w:rsidRPr="00683606">
        <w:rPr>
          <w:rFonts w:asciiTheme="majorHAnsi" w:hAnsiTheme="majorHAnsi" w:cs="Calibri"/>
        </w:rPr>
        <w:t>limits</w:t>
      </w:r>
      <w:proofErr w:type="gramEnd"/>
      <w:r w:rsidR="00683606" w:rsidRPr="00683606">
        <w:rPr>
          <w:rFonts w:asciiTheme="majorHAnsi" w:hAnsiTheme="majorHAnsi" w:cs="Calibri"/>
        </w:rPr>
        <w:t xml:space="preserve"> are depend on the expenditures of the organization, both in total, and on all of its lobbying activities.  It also depends on whether the organization has made an election under 501(h) of the Internal Revenue Code.  </w:t>
      </w:r>
      <w:r w:rsidR="006E076A">
        <w:rPr>
          <w:rFonts w:asciiTheme="majorHAnsi" w:hAnsiTheme="majorHAnsi" w:cs="Calibri"/>
        </w:rPr>
        <w:t>501(c)(3) organizations</w:t>
      </w:r>
      <w:r w:rsidR="00683606" w:rsidRPr="00683606">
        <w:rPr>
          <w:rFonts w:asciiTheme="majorHAnsi" w:hAnsiTheme="majorHAnsi" w:cs="Calibri"/>
        </w:rPr>
        <w:t xml:space="preserve"> with a particular concern about this issue should consult with their respective advisors about their own particular circumstances.</w:t>
      </w:r>
    </w:p>
    <w:sectPr w:rsidR="00683606" w:rsidRPr="00683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A0"/>
    <w:rsid w:val="00683606"/>
    <w:rsid w:val="006970D1"/>
    <w:rsid w:val="006E076A"/>
    <w:rsid w:val="007B2FD8"/>
    <w:rsid w:val="00AF3D27"/>
    <w:rsid w:val="00B94B44"/>
    <w:rsid w:val="00CC04A0"/>
    <w:rsid w:val="00CE2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BF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309</Words>
  <Characters>1812</Characters>
  <Application>Microsoft Macintosh Word</Application>
  <DocSecurity>0</DocSecurity>
  <Lines>31</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 Davis</cp:lastModifiedBy>
  <cp:revision>6</cp:revision>
  <dcterms:created xsi:type="dcterms:W3CDTF">2013-08-30T01:53:00Z</dcterms:created>
  <dcterms:modified xsi:type="dcterms:W3CDTF">2013-08-30T02:09:00Z</dcterms:modified>
  <cp:category/>
</cp:coreProperties>
</file>