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56" w:rsidRDefault="00B23956" w:rsidP="003A74AB">
      <w:pPr>
        <w:spacing w:after="0" w:line="240" w:lineRule="auto"/>
        <w:jc w:val="both"/>
        <w:rPr>
          <w:rFonts w:cs="Arial"/>
          <w:sz w:val="28"/>
        </w:rPr>
      </w:pPr>
      <w:bookmarkStart w:id="0" w:name="_GoBack"/>
      <w:bookmarkEnd w:id="0"/>
      <w:r w:rsidRPr="00B23956">
        <w:rPr>
          <w:rFonts w:cs="Arial"/>
          <w:noProof/>
          <w:sz w:val="28"/>
        </w:rPr>
        <w:drawing>
          <wp:inline distT="0" distB="0" distL="0" distR="0">
            <wp:extent cx="1857375" cy="1143000"/>
            <wp:effectExtent l="0" t="0" r="9525" b="0"/>
            <wp:docPr id="1" name="Picture 1" descr="P:\Formats, Forms &amp; Graphics\OPRA Graphics\logo - 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ormats, Forms &amp; Graphics\OPRA Graphics\logo - OPR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143000"/>
                    </a:xfrm>
                    <a:prstGeom prst="rect">
                      <a:avLst/>
                    </a:prstGeom>
                    <a:noFill/>
                    <a:ln>
                      <a:noFill/>
                    </a:ln>
                  </pic:spPr>
                </pic:pic>
              </a:graphicData>
            </a:graphic>
          </wp:inline>
        </w:drawing>
      </w:r>
    </w:p>
    <w:p w:rsidR="00B23956" w:rsidRDefault="00B23956" w:rsidP="003A74AB">
      <w:pPr>
        <w:spacing w:after="0" w:line="240" w:lineRule="auto"/>
        <w:jc w:val="both"/>
        <w:rPr>
          <w:rFonts w:cs="Arial"/>
          <w:sz w:val="28"/>
        </w:rPr>
      </w:pPr>
    </w:p>
    <w:p w:rsidR="00B23956" w:rsidRDefault="00B23956" w:rsidP="003A74AB">
      <w:pPr>
        <w:spacing w:after="0" w:line="240" w:lineRule="auto"/>
        <w:jc w:val="both"/>
        <w:rPr>
          <w:rFonts w:cs="Arial"/>
          <w:sz w:val="28"/>
        </w:rPr>
      </w:pPr>
    </w:p>
    <w:p w:rsidR="003A74AB" w:rsidRDefault="00BC1395" w:rsidP="003A74AB">
      <w:pPr>
        <w:spacing w:after="0" w:line="240" w:lineRule="auto"/>
        <w:jc w:val="both"/>
        <w:rPr>
          <w:rFonts w:cs="Arial"/>
          <w:sz w:val="28"/>
        </w:rPr>
      </w:pPr>
      <w:r>
        <w:rPr>
          <w:rFonts w:cs="Arial"/>
          <w:sz w:val="28"/>
        </w:rPr>
        <w:t>February 20, 2018</w:t>
      </w:r>
    </w:p>
    <w:p w:rsidR="003A74AB" w:rsidRDefault="003A74AB" w:rsidP="003A74AB">
      <w:pPr>
        <w:spacing w:after="0" w:line="240" w:lineRule="auto"/>
        <w:jc w:val="both"/>
        <w:rPr>
          <w:rFonts w:cs="Arial"/>
          <w:sz w:val="28"/>
        </w:rPr>
      </w:pPr>
    </w:p>
    <w:p w:rsidR="003A74AB" w:rsidRDefault="00BC1395" w:rsidP="003A74AB">
      <w:pPr>
        <w:spacing w:after="0" w:line="240" w:lineRule="auto"/>
        <w:jc w:val="both"/>
        <w:rPr>
          <w:rFonts w:cs="Arial"/>
          <w:sz w:val="28"/>
        </w:rPr>
      </w:pPr>
      <w:r>
        <w:rPr>
          <w:rFonts w:cs="Arial"/>
          <w:sz w:val="28"/>
        </w:rPr>
        <w:t>The Honorable Bill Coley</w:t>
      </w:r>
    </w:p>
    <w:p w:rsidR="00BC1395" w:rsidRDefault="00BC1395" w:rsidP="003A74AB">
      <w:pPr>
        <w:spacing w:after="0" w:line="240" w:lineRule="auto"/>
        <w:jc w:val="both"/>
        <w:rPr>
          <w:rFonts w:cs="Arial"/>
          <w:sz w:val="28"/>
        </w:rPr>
      </w:pPr>
      <w:r>
        <w:rPr>
          <w:rFonts w:cs="Arial"/>
          <w:sz w:val="28"/>
        </w:rPr>
        <w:t>Chairman, Senate Government Oversight and Reform Committee</w:t>
      </w:r>
    </w:p>
    <w:p w:rsidR="00BC1395" w:rsidRDefault="00BC1395" w:rsidP="003A74AB">
      <w:pPr>
        <w:spacing w:after="0" w:line="240" w:lineRule="auto"/>
        <w:jc w:val="both"/>
        <w:rPr>
          <w:rFonts w:cs="Arial"/>
          <w:sz w:val="28"/>
        </w:rPr>
      </w:pPr>
      <w:r>
        <w:rPr>
          <w:rFonts w:cs="Arial"/>
          <w:sz w:val="28"/>
        </w:rPr>
        <w:t>Ohio Senate</w:t>
      </w:r>
    </w:p>
    <w:p w:rsidR="00BC1395" w:rsidRDefault="00BC1395" w:rsidP="003A74AB">
      <w:pPr>
        <w:spacing w:after="0" w:line="240" w:lineRule="auto"/>
        <w:jc w:val="both"/>
        <w:rPr>
          <w:rFonts w:cs="Arial"/>
          <w:sz w:val="28"/>
        </w:rPr>
      </w:pPr>
      <w:r>
        <w:rPr>
          <w:rFonts w:cs="Arial"/>
          <w:sz w:val="28"/>
        </w:rPr>
        <w:t>Statehouse</w:t>
      </w:r>
    </w:p>
    <w:p w:rsidR="00BC1395" w:rsidRDefault="00BC1395" w:rsidP="003A74AB">
      <w:pPr>
        <w:spacing w:after="0" w:line="240" w:lineRule="auto"/>
        <w:jc w:val="both"/>
        <w:rPr>
          <w:rFonts w:cs="Arial"/>
          <w:sz w:val="28"/>
        </w:rPr>
      </w:pPr>
    </w:p>
    <w:p w:rsidR="00BC1395" w:rsidRDefault="00BC1395" w:rsidP="003A74AB">
      <w:pPr>
        <w:spacing w:after="0" w:line="240" w:lineRule="auto"/>
        <w:jc w:val="both"/>
        <w:rPr>
          <w:rFonts w:cs="Arial"/>
          <w:sz w:val="28"/>
        </w:rPr>
      </w:pPr>
      <w:r>
        <w:rPr>
          <w:rFonts w:cs="Arial"/>
          <w:sz w:val="28"/>
        </w:rPr>
        <w:t>Re: OPRA Support of Senate Bill 221 (</w:t>
      </w:r>
      <w:proofErr w:type="spellStart"/>
      <w:r>
        <w:rPr>
          <w:rFonts w:cs="Arial"/>
          <w:sz w:val="28"/>
        </w:rPr>
        <w:t>Uecker</w:t>
      </w:r>
      <w:proofErr w:type="spellEnd"/>
      <w:r>
        <w:rPr>
          <w:rFonts w:cs="Arial"/>
          <w:sz w:val="28"/>
        </w:rPr>
        <w:t>)</w:t>
      </w:r>
    </w:p>
    <w:p w:rsidR="00BC1395" w:rsidRDefault="00BC1395" w:rsidP="003A74AB">
      <w:pPr>
        <w:spacing w:after="0" w:line="240" w:lineRule="auto"/>
        <w:jc w:val="both"/>
        <w:rPr>
          <w:rFonts w:cs="Arial"/>
          <w:sz w:val="28"/>
        </w:rPr>
      </w:pPr>
    </w:p>
    <w:p w:rsidR="00BC1395" w:rsidRDefault="00BC1395" w:rsidP="003A74AB">
      <w:pPr>
        <w:spacing w:after="0" w:line="240" w:lineRule="auto"/>
        <w:jc w:val="both"/>
        <w:rPr>
          <w:rFonts w:cs="Arial"/>
          <w:sz w:val="28"/>
        </w:rPr>
      </w:pPr>
      <w:r>
        <w:rPr>
          <w:rFonts w:cs="Arial"/>
          <w:sz w:val="28"/>
        </w:rPr>
        <w:t>Dear Senator Coley:</w:t>
      </w:r>
    </w:p>
    <w:p w:rsidR="00BC1395" w:rsidRDefault="00BC1395" w:rsidP="003A74AB">
      <w:pPr>
        <w:spacing w:after="0" w:line="240" w:lineRule="auto"/>
        <w:jc w:val="both"/>
        <w:rPr>
          <w:rFonts w:cs="Arial"/>
          <w:sz w:val="28"/>
        </w:rPr>
      </w:pPr>
    </w:p>
    <w:p w:rsidR="003A74AB" w:rsidRDefault="00BC1395" w:rsidP="003A74AB">
      <w:pPr>
        <w:spacing w:after="0" w:line="240" w:lineRule="auto"/>
        <w:jc w:val="both"/>
        <w:rPr>
          <w:rFonts w:cs="Arial"/>
          <w:sz w:val="28"/>
        </w:rPr>
      </w:pPr>
      <w:r>
        <w:rPr>
          <w:rFonts w:cs="Arial"/>
          <w:sz w:val="28"/>
        </w:rPr>
        <w:t>M</w:t>
      </w:r>
      <w:r w:rsidR="003A74AB" w:rsidRPr="003A74AB">
        <w:rPr>
          <w:rFonts w:cs="Arial"/>
          <w:sz w:val="28"/>
        </w:rPr>
        <w:t>y name is Jeff Davis and I am the Director of Government Relations with the Ohio Provider Resource Association (OPRA). OPRA is a statewide association representing private providers of service to individuals with developmental disabilities. Our members represent the full array of services to individuals served within Ohio’s developmental disabilities system.</w:t>
      </w:r>
    </w:p>
    <w:p w:rsidR="003A74AB" w:rsidRDefault="003A74AB" w:rsidP="003A74AB">
      <w:pPr>
        <w:spacing w:after="0" w:line="240" w:lineRule="auto"/>
        <w:jc w:val="both"/>
        <w:rPr>
          <w:rFonts w:cs="Arial"/>
          <w:sz w:val="28"/>
        </w:rPr>
      </w:pPr>
    </w:p>
    <w:p w:rsidR="005B3EE6" w:rsidRDefault="003A74AB" w:rsidP="003A74AB">
      <w:pPr>
        <w:spacing w:after="0" w:line="240" w:lineRule="auto"/>
        <w:jc w:val="both"/>
        <w:rPr>
          <w:rFonts w:cs="Arial"/>
          <w:sz w:val="28"/>
        </w:rPr>
      </w:pPr>
      <w:r>
        <w:rPr>
          <w:rFonts w:cs="Arial"/>
          <w:sz w:val="28"/>
        </w:rPr>
        <w:t xml:space="preserve">I am </w:t>
      </w:r>
      <w:r w:rsidR="00A94B27">
        <w:rPr>
          <w:rFonts w:cs="Arial"/>
          <w:sz w:val="28"/>
        </w:rPr>
        <w:t>writing i</w:t>
      </w:r>
      <w:r>
        <w:rPr>
          <w:rFonts w:cs="Arial"/>
          <w:sz w:val="28"/>
        </w:rPr>
        <w:t xml:space="preserve">n support of </w:t>
      </w:r>
      <w:r w:rsidR="00A94B27">
        <w:rPr>
          <w:rFonts w:cs="Arial"/>
          <w:sz w:val="28"/>
        </w:rPr>
        <w:t>Senate</w:t>
      </w:r>
      <w:r>
        <w:rPr>
          <w:rFonts w:cs="Arial"/>
          <w:sz w:val="28"/>
        </w:rPr>
        <w:t xml:space="preserve"> Bill </w:t>
      </w:r>
      <w:r w:rsidR="00A94B27">
        <w:rPr>
          <w:rFonts w:cs="Arial"/>
          <w:sz w:val="28"/>
        </w:rPr>
        <w:t>221</w:t>
      </w:r>
      <w:r>
        <w:rPr>
          <w:rFonts w:cs="Arial"/>
          <w:sz w:val="28"/>
        </w:rPr>
        <w:t xml:space="preserve">. </w:t>
      </w:r>
      <w:r w:rsidR="00A94B27">
        <w:rPr>
          <w:rFonts w:cs="Arial"/>
          <w:sz w:val="28"/>
        </w:rPr>
        <w:t>SB</w:t>
      </w:r>
      <w:r w:rsidR="00EC145F">
        <w:rPr>
          <w:rFonts w:cs="Arial"/>
          <w:sz w:val="28"/>
        </w:rPr>
        <w:t xml:space="preserve"> </w:t>
      </w:r>
      <w:r w:rsidR="00A94B27">
        <w:rPr>
          <w:rFonts w:cs="Arial"/>
          <w:sz w:val="28"/>
        </w:rPr>
        <w:t>221</w:t>
      </w:r>
      <w:r w:rsidR="00EC145F">
        <w:rPr>
          <w:rFonts w:cs="Arial"/>
          <w:sz w:val="28"/>
        </w:rPr>
        <w:t xml:space="preserve"> offers a practical and simple structured process for affected parties to have their concerns heard through an impartial third party</w:t>
      </w:r>
      <w:r w:rsidR="005B3EE6">
        <w:rPr>
          <w:rFonts w:cs="Arial"/>
          <w:sz w:val="28"/>
        </w:rPr>
        <w:t xml:space="preserve"> that is already established and invested with both the authority and historical knowledge to arbitrate those concerns.</w:t>
      </w:r>
      <w:r w:rsidR="00EC145F">
        <w:rPr>
          <w:rFonts w:cs="Arial"/>
          <w:sz w:val="28"/>
        </w:rPr>
        <w:t xml:space="preserve"> </w:t>
      </w:r>
    </w:p>
    <w:p w:rsidR="005B3EE6" w:rsidRDefault="005B3EE6" w:rsidP="003A74AB">
      <w:pPr>
        <w:spacing w:after="0" w:line="240" w:lineRule="auto"/>
        <w:jc w:val="both"/>
        <w:rPr>
          <w:rFonts w:cs="Arial"/>
          <w:sz w:val="28"/>
        </w:rPr>
      </w:pPr>
    </w:p>
    <w:p w:rsidR="0045384E" w:rsidRDefault="00F47FF9" w:rsidP="003A74AB">
      <w:pPr>
        <w:spacing w:after="0" w:line="240" w:lineRule="auto"/>
        <w:jc w:val="both"/>
        <w:rPr>
          <w:rFonts w:cs="Arial"/>
          <w:sz w:val="28"/>
        </w:rPr>
      </w:pPr>
      <w:r>
        <w:rPr>
          <w:rFonts w:cs="Arial"/>
          <w:sz w:val="28"/>
        </w:rPr>
        <w:t xml:space="preserve">My comments are not targeted at any particular agency or administration. </w:t>
      </w:r>
      <w:r w:rsidR="00EC145F">
        <w:rPr>
          <w:rFonts w:cs="Arial"/>
          <w:sz w:val="28"/>
        </w:rPr>
        <w:t xml:space="preserve">What </w:t>
      </w:r>
      <w:r>
        <w:rPr>
          <w:rFonts w:cs="Arial"/>
          <w:sz w:val="28"/>
        </w:rPr>
        <w:t xml:space="preserve">I am arguing </w:t>
      </w:r>
      <w:r w:rsidR="00B23956">
        <w:rPr>
          <w:rFonts w:cs="Arial"/>
          <w:sz w:val="28"/>
        </w:rPr>
        <w:t xml:space="preserve">is </w:t>
      </w:r>
      <w:r w:rsidR="003B50F9">
        <w:rPr>
          <w:rFonts w:cs="Arial"/>
          <w:sz w:val="28"/>
        </w:rPr>
        <w:t xml:space="preserve">that </w:t>
      </w:r>
      <w:r w:rsidR="001F6070">
        <w:rPr>
          <w:rFonts w:cs="Arial"/>
          <w:sz w:val="28"/>
        </w:rPr>
        <w:t xml:space="preserve">it is </w:t>
      </w:r>
      <w:r w:rsidR="003B50F9">
        <w:rPr>
          <w:rFonts w:cs="Arial"/>
          <w:sz w:val="28"/>
        </w:rPr>
        <w:t>o</w:t>
      </w:r>
      <w:r>
        <w:rPr>
          <w:rFonts w:cs="Arial"/>
          <w:sz w:val="28"/>
        </w:rPr>
        <w:t xml:space="preserve">ften the temptation or even the inherent nature of any government agency vested with immense powers to stray beyond their statutory </w:t>
      </w:r>
      <w:r w:rsidR="0045384E">
        <w:rPr>
          <w:rFonts w:cs="Arial"/>
          <w:sz w:val="28"/>
        </w:rPr>
        <w:t xml:space="preserve">or rule making </w:t>
      </w:r>
      <w:r>
        <w:rPr>
          <w:rFonts w:cs="Arial"/>
          <w:sz w:val="28"/>
        </w:rPr>
        <w:t>authority</w:t>
      </w:r>
      <w:r w:rsidR="0045384E">
        <w:rPr>
          <w:rFonts w:cs="Arial"/>
          <w:sz w:val="28"/>
        </w:rPr>
        <w:t>.</w:t>
      </w:r>
      <w:r w:rsidR="005B3EE6">
        <w:rPr>
          <w:rFonts w:cs="Arial"/>
          <w:sz w:val="28"/>
        </w:rPr>
        <w:t xml:space="preserve"> And those changes in policy can have a significant impact on those directly affected.</w:t>
      </w:r>
    </w:p>
    <w:p w:rsidR="005B3EE6" w:rsidRDefault="005B3EE6" w:rsidP="003A74AB">
      <w:pPr>
        <w:spacing w:after="0" w:line="240" w:lineRule="auto"/>
        <w:jc w:val="both"/>
        <w:rPr>
          <w:rFonts w:cs="Arial"/>
          <w:sz w:val="28"/>
        </w:rPr>
      </w:pPr>
    </w:p>
    <w:p w:rsidR="005B3EE6" w:rsidRDefault="005B3EE6" w:rsidP="003A74AB">
      <w:pPr>
        <w:spacing w:after="0" w:line="240" w:lineRule="auto"/>
        <w:jc w:val="both"/>
        <w:rPr>
          <w:rFonts w:cs="Arial"/>
          <w:sz w:val="28"/>
        </w:rPr>
      </w:pPr>
      <w:r>
        <w:rPr>
          <w:rFonts w:cs="Arial"/>
          <w:sz w:val="28"/>
        </w:rPr>
        <w:t xml:space="preserve">Providers </w:t>
      </w:r>
      <w:r w:rsidR="00416861">
        <w:rPr>
          <w:rFonts w:cs="Arial"/>
          <w:sz w:val="28"/>
        </w:rPr>
        <w:t>in Ohio’s human service system</w:t>
      </w:r>
      <w:r w:rsidR="00964790">
        <w:rPr>
          <w:rFonts w:cs="Arial"/>
          <w:sz w:val="28"/>
        </w:rPr>
        <w:t>s</w:t>
      </w:r>
      <w:r w:rsidR="00416861">
        <w:rPr>
          <w:rFonts w:cs="Arial"/>
          <w:sz w:val="28"/>
        </w:rPr>
        <w:t xml:space="preserve"> are often </w:t>
      </w:r>
      <w:r>
        <w:rPr>
          <w:rFonts w:cs="Arial"/>
          <w:sz w:val="28"/>
        </w:rPr>
        <w:t xml:space="preserve">entirely dependent on </w:t>
      </w:r>
      <w:r w:rsidR="00E9090A">
        <w:rPr>
          <w:rFonts w:cs="Arial"/>
          <w:sz w:val="28"/>
        </w:rPr>
        <w:t xml:space="preserve">state government for their funding and overarching regulation. </w:t>
      </w:r>
      <w:r w:rsidR="00416861">
        <w:rPr>
          <w:rFonts w:cs="Arial"/>
          <w:sz w:val="28"/>
        </w:rPr>
        <w:t xml:space="preserve">Consistency and </w:t>
      </w:r>
      <w:r w:rsidR="00416861">
        <w:rPr>
          <w:rFonts w:cs="Arial"/>
          <w:sz w:val="28"/>
        </w:rPr>
        <w:lastRenderedPageBreak/>
        <w:t xml:space="preserve">standardization of payment and regulation through statute and administrative rule is essential not just from a fairness standpoint but also critical to the delivery of the expected outcomes. </w:t>
      </w:r>
      <w:r w:rsidR="007B69DE">
        <w:rPr>
          <w:rFonts w:cs="Arial"/>
          <w:sz w:val="28"/>
        </w:rPr>
        <w:t>Imagine compliance or licensure reviews without clear standards, audit reviews without protocol or rate setting by fiat.</w:t>
      </w:r>
    </w:p>
    <w:p w:rsidR="007B69DE" w:rsidRDefault="007B69DE" w:rsidP="003A74AB">
      <w:pPr>
        <w:spacing w:after="0" w:line="240" w:lineRule="auto"/>
        <w:jc w:val="both"/>
        <w:rPr>
          <w:rFonts w:cs="Arial"/>
          <w:sz w:val="28"/>
        </w:rPr>
      </w:pPr>
    </w:p>
    <w:p w:rsidR="00EA028A" w:rsidRDefault="007B69DE" w:rsidP="003A74AB">
      <w:pPr>
        <w:spacing w:after="0" w:line="240" w:lineRule="auto"/>
        <w:jc w:val="both"/>
        <w:rPr>
          <w:rFonts w:cs="Arial"/>
          <w:sz w:val="28"/>
        </w:rPr>
      </w:pPr>
      <w:r>
        <w:rPr>
          <w:rFonts w:cs="Arial"/>
          <w:sz w:val="28"/>
        </w:rPr>
        <w:t>Today if OPRA as a statewide member association has concerns with a state agency’s overreach our natural first step is to approach the respective department. If for one reason or another the department refuses to listen</w:t>
      </w:r>
      <w:r w:rsidR="00416861">
        <w:rPr>
          <w:rFonts w:cs="Arial"/>
          <w:sz w:val="28"/>
        </w:rPr>
        <w:t xml:space="preserve"> </w:t>
      </w:r>
      <w:r>
        <w:rPr>
          <w:rFonts w:cs="Arial"/>
          <w:sz w:val="28"/>
        </w:rPr>
        <w:t xml:space="preserve">and the issue is significant enough then we have no option other than to invite a third party with the requisite authority into the discussion. The only two parties with legitimate enough authority to intervene are the legislature and the courts. One avoids the courts for obvious reasons unless it is </w:t>
      </w:r>
      <w:r w:rsidR="00416861">
        <w:rPr>
          <w:rFonts w:cs="Arial"/>
          <w:sz w:val="28"/>
        </w:rPr>
        <w:t xml:space="preserve">an absolute necessity. The legislature </w:t>
      </w:r>
      <w:r w:rsidR="0070639E">
        <w:rPr>
          <w:rFonts w:cs="Arial"/>
          <w:sz w:val="28"/>
        </w:rPr>
        <w:t xml:space="preserve">is and has always been our natural next step. We are certainly not unique in this thought process. </w:t>
      </w:r>
    </w:p>
    <w:p w:rsidR="00EA028A" w:rsidRDefault="00EA028A" w:rsidP="003A74AB">
      <w:pPr>
        <w:spacing w:after="0" w:line="240" w:lineRule="auto"/>
        <w:jc w:val="both"/>
        <w:rPr>
          <w:rFonts w:cs="Arial"/>
          <w:sz w:val="28"/>
        </w:rPr>
      </w:pPr>
    </w:p>
    <w:p w:rsidR="005940DC" w:rsidRDefault="00A94B27" w:rsidP="003A74AB">
      <w:pPr>
        <w:spacing w:after="0" w:line="240" w:lineRule="auto"/>
        <w:jc w:val="both"/>
        <w:rPr>
          <w:rFonts w:cs="Arial"/>
          <w:sz w:val="28"/>
        </w:rPr>
      </w:pPr>
      <w:r>
        <w:rPr>
          <w:rFonts w:cs="Arial"/>
          <w:sz w:val="28"/>
        </w:rPr>
        <w:t xml:space="preserve">SB221 </w:t>
      </w:r>
      <w:r w:rsidR="0070639E">
        <w:rPr>
          <w:rFonts w:cs="Arial"/>
          <w:sz w:val="28"/>
        </w:rPr>
        <w:t xml:space="preserve">offers a structured remedy </w:t>
      </w:r>
      <w:r w:rsidR="00964790">
        <w:rPr>
          <w:rFonts w:cs="Arial"/>
          <w:sz w:val="28"/>
        </w:rPr>
        <w:t>and consistent venue for those situations serious enough to warrant review.</w:t>
      </w:r>
      <w:r w:rsidR="005940DC">
        <w:rPr>
          <w:rFonts w:cs="Arial"/>
          <w:sz w:val="28"/>
        </w:rPr>
        <w:t xml:space="preserve"> We wholeheartedly support </w:t>
      </w:r>
      <w:r>
        <w:rPr>
          <w:rFonts w:cs="Arial"/>
          <w:sz w:val="28"/>
        </w:rPr>
        <w:t>SB 221</w:t>
      </w:r>
      <w:r w:rsidR="005940DC">
        <w:rPr>
          <w:rFonts w:cs="Arial"/>
          <w:sz w:val="28"/>
        </w:rPr>
        <w:t>. In fact one could argue that it is long overdue.</w:t>
      </w:r>
      <w:r w:rsidR="00EA028A">
        <w:rPr>
          <w:rFonts w:cs="Arial"/>
          <w:sz w:val="28"/>
        </w:rPr>
        <w:t xml:space="preserve"> </w:t>
      </w:r>
      <w:r w:rsidR="005940DC">
        <w:rPr>
          <w:rFonts w:cs="Arial"/>
          <w:sz w:val="28"/>
        </w:rPr>
        <w:t xml:space="preserve">I thank you for your time and attention. </w:t>
      </w:r>
    </w:p>
    <w:p w:rsidR="00A94B27" w:rsidRDefault="00A94B27" w:rsidP="003A74AB">
      <w:pPr>
        <w:spacing w:after="0" w:line="240" w:lineRule="auto"/>
        <w:jc w:val="both"/>
        <w:rPr>
          <w:rFonts w:cs="Arial"/>
          <w:sz w:val="28"/>
        </w:rPr>
      </w:pPr>
    </w:p>
    <w:p w:rsidR="00A94B27" w:rsidRDefault="00A94B27" w:rsidP="003A74AB">
      <w:pPr>
        <w:spacing w:after="0" w:line="240" w:lineRule="auto"/>
        <w:jc w:val="both"/>
        <w:rPr>
          <w:rFonts w:cs="Arial"/>
          <w:sz w:val="28"/>
        </w:rPr>
      </w:pPr>
      <w:r>
        <w:rPr>
          <w:rFonts w:cs="Arial"/>
          <w:sz w:val="28"/>
        </w:rPr>
        <w:t>Sincerely,</w:t>
      </w:r>
    </w:p>
    <w:p w:rsidR="00A94B27" w:rsidRDefault="00A94B27" w:rsidP="003A74AB">
      <w:pPr>
        <w:spacing w:after="0" w:line="240" w:lineRule="auto"/>
        <w:jc w:val="both"/>
        <w:rPr>
          <w:rFonts w:cs="Arial"/>
          <w:sz w:val="28"/>
        </w:rPr>
      </w:pPr>
    </w:p>
    <w:p w:rsidR="00A94B27" w:rsidRDefault="00A94B27" w:rsidP="003A74AB">
      <w:pPr>
        <w:spacing w:after="0" w:line="240" w:lineRule="auto"/>
        <w:jc w:val="both"/>
        <w:rPr>
          <w:rFonts w:cs="Arial"/>
          <w:sz w:val="28"/>
        </w:rPr>
      </w:pPr>
    </w:p>
    <w:p w:rsidR="00A94B27" w:rsidRDefault="00A94B27" w:rsidP="003A74AB">
      <w:pPr>
        <w:spacing w:after="0" w:line="240" w:lineRule="auto"/>
        <w:jc w:val="both"/>
        <w:rPr>
          <w:rFonts w:cs="Arial"/>
          <w:sz w:val="28"/>
        </w:rPr>
      </w:pPr>
    </w:p>
    <w:p w:rsidR="00A94B27" w:rsidRDefault="00A94B27" w:rsidP="003A74AB">
      <w:pPr>
        <w:spacing w:after="0" w:line="240" w:lineRule="auto"/>
        <w:jc w:val="both"/>
        <w:rPr>
          <w:rFonts w:cs="Arial"/>
          <w:sz w:val="28"/>
        </w:rPr>
      </w:pPr>
      <w:r>
        <w:rPr>
          <w:rFonts w:cs="Arial"/>
          <w:sz w:val="28"/>
        </w:rPr>
        <w:t>Jeff Davis</w:t>
      </w:r>
    </w:p>
    <w:p w:rsidR="00A94B27" w:rsidRDefault="00A94B27" w:rsidP="003A74AB">
      <w:pPr>
        <w:spacing w:after="0" w:line="240" w:lineRule="auto"/>
        <w:jc w:val="both"/>
        <w:rPr>
          <w:rFonts w:cs="Arial"/>
          <w:sz w:val="28"/>
        </w:rPr>
      </w:pPr>
      <w:r>
        <w:rPr>
          <w:rFonts w:cs="Arial"/>
          <w:sz w:val="28"/>
        </w:rPr>
        <w:t>Director of Government Relations</w:t>
      </w:r>
    </w:p>
    <w:p w:rsidR="00A94B27" w:rsidRDefault="00A94B27" w:rsidP="003A74AB">
      <w:pPr>
        <w:spacing w:after="0" w:line="240" w:lineRule="auto"/>
        <w:jc w:val="both"/>
        <w:rPr>
          <w:rFonts w:cs="Arial"/>
          <w:sz w:val="28"/>
        </w:rPr>
      </w:pPr>
      <w:r>
        <w:rPr>
          <w:rFonts w:cs="Arial"/>
          <w:sz w:val="28"/>
        </w:rPr>
        <w:t>OPRA</w:t>
      </w:r>
    </w:p>
    <w:p w:rsidR="00964790" w:rsidRDefault="00964790" w:rsidP="003A74AB">
      <w:pPr>
        <w:spacing w:after="0" w:line="240" w:lineRule="auto"/>
        <w:jc w:val="both"/>
        <w:rPr>
          <w:rFonts w:cs="Arial"/>
          <w:sz w:val="28"/>
        </w:rPr>
      </w:pPr>
    </w:p>
    <w:p w:rsidR="00964790" w:rsidRDefault="00964790" w:rsidP="003A74AB">
      <w:pPr>
        <w:spacing w:after="0" w:line="240" w:lineRule="auto"/>
        <w:jc w:val="both"/>
        <w:rPr>
          <w:rFonts w:cs="Arial"/>
          <w:sz w:val="28"/>
        </w:rPr>
      </w:pPr>
    </w:p>
    <w:p w:rsidR="00964790" w:rsidRDefault="00964790" w:rsidP="003A74AB">
      <w:pPr>
        <w:spacing w:after="0" w:line="240" w:lineRule="auto"/>
        <w:jc w:val="both"/>
        <w:rPr>
          <w:rFonts w:cs="Arial"/>
          <w:sz w:val="28"/>
        </w:rPr>
      </w:pPr>
    </w:p>
    <w:p w:rsidR="00EC145F" w:rsidRDefault="00EC145F" w:rsidP="003A74AB">
      <w:pPr>
        <w:spacing w:after="0" w:line="240" w:lineRule="auto"/>
        <w:jc w:val="both"/>
        <w:rPr>
          <w:rFonts w:cs="Arial"/>
          <w:sz w:val="28"/>
        </w:rPr>
      </w:pPr>
    </w:p>
    <w:p w:rsidR="00EC145F" w:rsidRDefault="00EC145F" w:rsidP="003A74AB">
      <w:pPr>
        <w:spacing w:after="0" w:line="240" w:lineRule="auto"/>
        <w:jc w:val="both"/>
        <w:rPr>
          <w:rFonts w:cs="Arial"/>
          <w:sz w:val="28"/>
        </w:rPr>
      </w:pPr>
    </w:p>
    <w:p w:rsidR="0045384E" w:rsidRDefault="0045384E" w:rsidP="003A74AB">
      <w:pPr>
        <w:spacing w:after="0" w:line="240" w:lineRule="auto"/>
        <w:jc w:val="both"/>
        <w:rPr>
          <w:rFonts w:cs="Arial"/>
          <w:sz w:val="28"/>
        </w:rPr>
      </w:pPr>
    </w:p>
    <w:p w:rsidR="003A74AB" w:rsidRPr="003A74AB" w:rsidRDefault="00F47FF9" w:rsidP="003A74AB">
      <w:pPr>
        <w:spacing w:after="0" w:line="240" w:lineRule="auto"/>
        <w:jc w:val="both"/>
        <w:rPr>
          <w:rFonts w:cs="Arial"/>
          <w:sz w:val="28"/>
        </w:rPr>
      </w:pPr>
      <w:r>
        <w:rPr>
          <w:rFonts w:cs="Arial"/>
          <w:sz w:val="28"/>
        </w:rPr>
        <w:t xml:space="preserve"> </w:t>
      </w:r>
    </w:p>
    <w:p w:rsidR="004845D7" w:rsidRDefault="004845D7"/>
    <w:sectPr w:rsidR="00484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B"/>
    <w:rsid w:val="001F6070"/>
    <w:rsid w:val="003A74AB"/>
    <w:rsid w:val="003B50F9"/>
    <w:rsid w:val="00416861"/>
    <w:rsid w:val="0045384E"/>
    <w:rsid w:val="004845D7"/>
    <w:rsid w:val="005940DC"/>
    <w:rsid w:val="005B3EE6"/>
    <w:rsid w:val="0070639E"/>
    <w:rsid w:val="0074198C"/>
    <w:rsid w:val="007B69DE"/>
    <w:rsid w:val="00964790"/>
    <w:rsid w:val="00A94B27"/>
    <w:rsid w:val="00B23956"/>
    <w:rsid w:val="00BC1395"/>
    <w:rsid w:val="00E31BB8"/>
    <w:rsid w:val="00E72558"/>
    <w:rsid w:val="00E9090A"/>
    <w:rsid w:val="00EA028A"/>
    <w:rsid w:val="00EC145F"/>
    <w:rsid w:val="00F4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A6BA6-B27D-4270-A596-65FFC080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2</cp:revision>
  <cp:lastPrinted>2016-05-18T12:00:00Z</cp:lastPrinted>
  <dcterms:created xsi:type="dcterms:W3CDTF">2018-02-19T16:53:00Z</dcterms:created>
  <dcterms:modified xsi:type="dcterms:W3CDTF">2018-02-19T16:53:00Z</dcterms:modified>
</cp:coreProperties>
</file>