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499" w:rsidRDefault="00786E79">
      <w:pPr>
        <w:pStyle w:val="MemoHeading"/>
      </w:pPr>
      <w:r>
        <w:t>MEMORANDU</w:t>
      </w:r>
      <w:r>
        <w:rPr>
          <w:spacing w:val="0"/>
        </w:rPr>
        <w:t>M</w:t>
      </w:r>
    </w:p>
    <w:tbl>
      <w:tblPr>
        <w:tblW w:w="9576" w:type="dxa"/>
        <w:tblLayout w:type="fixed"/>
        <w:tblCellMar>
          <w:left w:w="0" w:type="dxa"/>
          <w:right w:w="0" w:type="dxa"/>
        </w:tblCellMar>
        <w:tblLook w:val="0000"/>
      </w:tblPr>
      <w:tblGrid>
        <w:gridCol w:w="1440"/>
        <w:gridCol w:w="8118"/>
        <w:gridCol w:w="18"/>
      </w:tblGrid>
      <w:tr w:rsidR="00A30499">
        <w:trPr>
          <w:gridAfter w:val="1"/>
          <w:wAfter w:w="18" w:type="dxa"/>
        </w:trPr>
        <w:tc>
          <w:tcPr>
            <w:tcW w:w="1440" w:type="dxa"/>
          </w:tcPr>
          <w:p w:rsidR="00A30499" w:rsidRDefault="00786E79">
            <w:pPr>
              <w:pStyle w:val="HeadingTitle"/>
            </w:pPr>
            <w:r>
              <w:t>TO:</w:t>
            </w:r>
          </w:p>
        </w:tc>
        <w:tc>
          <w:tcPr>
            <w:tcW w:w="8118" w:type="dxa"/>
          </w:tcPr>
          <w:p w:rsidR="00A30499" w:rsidRDefault="00786E79">
            <w:pPr>
              <w:pStyle w:val="HeadingText"/>
            </w:pPr>
            <w:bookmarkStart w:id="0" w:name="To"/>
            <w:r>
              <w:t>Ohio Provider Resource Association</w:t>
            </w:r>
            <w:bookmarkEnd w:id="0"/>
          </w:p>
        </w:tc>
      </w:tr>
      <w:tr w:rsidR="00A30499">
        <w:trPr>
          <w:gridAfter w:val="1"/>
          <w:wAfter w:w="18" w:type="dxa"/>
          <w:trHeight w:hRule="exact" w:val="240"/>
        </w:trPr>
        <w:tc>
          <w:tcPr>
            <w:tcW w:w="1440" w:type="dxa"/>
          </w:tcPr>
          <w:p w:rsidR="00A30499" w:rsidRDefault="00A30499">
            <w:pPr>
              <w:pStyle w:val="HeadingTitle"/>
            </w:pPr>
          </w:p>
        </w:tc>
        <w:tc>
          <w:tcPr>
            <w:tcW w:w="8118" w:type="dxa"/>
          </w:tcPr>
          <w:p w:rsidR="00A30499" w:rsidRDefault="00A30499">
            <w:pPr>
              <w:pStyle w:val="HeadingText"/>
            </w:pPr>
            <w:bookmarkStart w:id="1" w:name="holdCClist"/>
            <w:bookmarkEnd w:id="1"/>
          </w:p>
        </w:tc>
      </w:tr>
      <w:tr w:rsidR="00A30499">
        <w:trPr>
          <w:gridAfter w:val="1"/>
          <w:wAfter w:w="18" w:type="dxa"/>
        </w:trPr>
        <w:tc>
          <w:tcPr>
            <w:tcW w:w="1440" w:type="dxa"/>
          </w:tcPr>
          <w:p w:rsidR="00A30499" w:rsidRDefault="00786E79">
            <w:pPr>
              <w:pStyle w:val="HeadingTitle"/>
            </w:pPr>
            <w:r>
              <w:t>FROM:</w:t>
            </w:r>
          </w:p>
        </w:tc>
        <w:tc>
          <w:tcPr>
            <w:tcW w:w="8118" w:type="dxa"/>
          </w:tcPr>
          <w:p w:rsidR="00A30499" w:rsidRDefault="00786E79">
            <w:pPr>
              <w:pStyle w:val="HeadingText"/>
            </w:pPr>
            <w:bookmarkStart w:id="2" w:name="Author"/>
            <w:r>
              <w:t xml:space="preserve">Suzanne </w:t>
            </w:r>
            <w:r w:rsidR="0089373E">
              <w:t xml:space="preserve">J. </w:t>
            </w:r>
            <w:r>
              <w:t>Scrutton</w:t>
            </w:r>
          </w:p>
          <w:p w:rsidR="00A30499" w:rsidRDefault="0089373E">
            <w:pPr>
              <w:pStyle w:val="HeadingText"/>
            </w:pPr>
            <w:r>
              <w:t xml:space="preserve">Nelson D. Cary </w:t>
            </w:r>
          </w:p>
          <w:p w:rsidR="00A30499" w:rsidRDefault="00786E79">
            <w:pPr>
              <w:pStyle w:val="HeadingText"/>
            </w:pPr>
            <w:r>
              <w:t>Michael F. O'Brien</w:t>
            </w:r>
            <w:bookmarkEnd w:id="2"/>
          </w:p>
          <w:p w:rsidR="00A30499" w:rsidRDefault="0089373E">
            <w:pPr>
              <w:pStyle w:val="HeadingText"/>
            </w:pPr>
            <w:r>
              <w:t>Robin P. Amicon</w:t>
            </w:r>
          </w:p>
        </w:tc>
      </w:tr>
      <w:tr w:rsidR="00A30499">
        <w:trPr>
          <w:gridAfter w:val="1"/>
          <w:wAfter w:w="18" w:type="dxa"/>
          <w:trHeight w:hRule="exact" w:val="240"/>
        </w:trPr>
        <w:tc>
          <w:tcPr>
            <w:tcW w:w="1440" w:type="dxa"/>
          </w:tcPr>
          <w:p w:rsidR="00A30499" w:rsidRDefault="00A30499">
            <w:pPr>
              <w:pStyle w:val="HeadingTitle"/>
            </w:pPr>
          </w:p>
        </w:tc>
        <w:tc>
          <w:tcPr>
            <w:tcW w:w="8118" w:type="dxa"/>
          </w:tcPr>
          <w:p w:rsidR="00A30499" w:rsidRDefault="00A30499">
            <w:pPr>
              <w:pStyle w:val="HeadingText"/>
            </w:pPr>
          </w:p>
        </w:tc>
      </w:tr>
      <w:tr w:rsidR="00A30499">
        <w:trPr>
          <w:gridAfter w:val="1"/>
          <w:wAfter w:w="18" w:type="dxa"/>
        </w:trPr>
        <w:tc>
          <w:tcPr>
            <w:tcW w:w="1440" w:type="dxa"/>
          </w:tcPr>
          <w:p w:rsidR="00A30499" w:rsidRDefault="00786E79">
            <w:pPr>
              <w:pStyle w:val="HeadingTitle"/>
            </w:pPr>
            <w:r>
              <w:t>DATE:</w:t>
            </w:r>
          </w:p>
        </w:tc>
        <w:tc>
          <w:tcPr>
            <w:tcW w:w="8118" w:type="dxa"/>
          </w:tcPr>
          <w:p w:rsidR="00A30499" w:rsidRDefault="00786E79">
            <w:pPr>
              <w:pStyle w:val="Date"/>
            </w:pPr>
            <w:bookmarkStart w:id="3" w:name="Date"/>
            <w:r>
              <w:t>September 24, 2013</w:t>
            </w:r>
            <w:bookmarkEnd w:id="3"/>
          </w:p>
        </w:tc>
      </w:tr>
      <w:tr w:rsidR="00A30499">
        <w:trPr>
          <w:gridAfter w:val="1"/>
          <w:wAfter w:w="18" w:type="dxa"/>
          <w:trHeight w:hRule="exact" w:val="240"/>
        </w:trPr>
        <w:tc>
          <w:tcPr>
            <w:tcW w:w="1440" w:type="dxa"/>
          </w:tcPr>
          <w:p w:rsidR="00A30499" w:rsidRDefault="00A30499">
            <w:pPr>
              <w:pStyle w:val="HeadingTitle"/>
            </w:pPr>
            <w:bookmarkStart w:id="4" w:name="holdRe"/>
            <w:bookmarkEnd w:id="4"/>
          </w:p>
        </w:tc>
        <w:tc>
          <w:tcPr>
            <w:tcW w:w="8118" w:type="dxa"/>
          </w:tcPr>
          <w:p w:rsidR="00A30499" w:rsidRDefault="00A30499">
            <w:pPr>
              <w:pStyle w:val="HeadingText"/>
            </w:pPr>
          </w:p>
        </w:tc>
      </w:tr>
      <w:tr w:rsidR="00A30499">
        <w:trPr>
          <w:gridAfter w:val="1"/>
          <w:wAfter w:w="18" w:type="dxa"/>
        </w:trPr>
        <w:tc>
          <w:tcPr>
            <w:tcW w:w="1440" w:type="dxa"/>
          </w:tcPr>
          <w:p w:rsidR="00A30499" w:rsidRDefault="00786E79">
            <w:pPr>
              <w:pStyle w:val="HeadingTitle"/>
            </w:pPr>
            <w:r>
              <w:t>RE:</w:t>
            </w:r>
          </w:p>
        </w:tc>
        <w:tc>
          <w:tcPr>
            <w:tcW w:w="8118" w:type="dxa"/>
          </w:tcPr>
          <w:p w:rsidR="00A30499" w:rsidRDefault="00786E79">
            <w:pPr>
              <w:pStyle w:val="ReLine"/>
            </w:pPr>
            <w:bookmarkStart w:id="5" w:name="Re"/>
            <w:r>
              <w:t>Department of Labor Changes to FLSA Companionship Services</w:t>
            </w:r>
            <w:bookmarkEnd w:id="5"/>
            <w:r>
              <w:t xml:space="preserve"> Exemption</w:t>
            </w:r>
          </w:p>
        </w:tc>
      </w:tr>
      <w:tr w:rsidR="00A30499">
        <w:tc>
          <w:tcPr>
            <w:tcW w:w="9576" w:type="dxa"/>
            <w:gridSpan w:val="3"/>
            <w:tcBorders>
              <w:bottom w:val="single" w:sz="12" w:space="0" w:color="auto"/>
            </w:tcBorders>
          </w:tcPr>
          <w:p w:rsidR="00A30499" w:rsidRDefault="00A30499">
            <w:pPr>
              <w:rPr>
                <w:rFonts w:ascii="Arial" w:hAnsi="Arial"/>
                <w:b/>
              </w:rPr>
            </w:pPr>
          </w:p>
        </w:tc>
      </w:tr>
      <w:tr w:rsidR="00A30499">
        <w:tc>
          <w:tcPr>
            <w:tcW w:w="9576" w:type="dxa"/>
            <w:gridSpan w:val="3"/>
          </w:tcPr>
          <w:p w:rsidR="00A30499" w:rsidRDefault="00A30499">
            <w:pPr>
              <w:rPr>
                <w:rFonts w:ascii="Arial" w:hAnsi="Arial"/>
                <w:b/>
              </w:rPr>
            </w:pPr>
          </w:p>
        </w:tc>
      </w:tr>
    </w:tbl>
    <w:p w:rsidR="00786E79" w:rsidRPr="00786E79" w:rsidRDefault="00746D2C" w:rsidP="00786E79">
      <w:bookmarkStart w:id="6" w:name="Start"/>
      <w:bookmarkEnd w:id="6"/>
      <w:r>
        <w:rPr>
          <w:b/>
          <w:u w:val="single"/>
        </w:rPr>
        <w:t>The</w:t>
      </w:r>
      <w:r w:rsidR="00786E79" w:rsidRPr="00786E79">
        <w:rPr>
          <w:b/>
          <w:u w:val="single"/>
        </w:rPr>
        <w:t xml:space="preserve"> Companionship Services Exemption </w:t>
      </w:r>
    </w:p>
    <w:p w:rsidR="00786E79" w:rsidRDefault="00786E79" w:rsidP="00786E79"/>
    <w:p w:rsidR="00A30499" w:rsidRDefault="00786E79" w:rsidP="00786E79">
      <w:pPr>
        <w:ind w:firstLine="720"/>
      </w:pPr>
      <w:r>
        <w:t xml:space="preserve">Many OPRA provider agencies currently utilize the “companionship services” exemption provided under the Fair Labor Standards Act (“FLSA”) pertaining to minimum wage and overtime payments for their employees.  Recent revisions to federal regulations, however, will prevent such agencies from taking advantage of these minimum wage and overtime exemptions.  If </w:t>
      </w:r>
      <w:r w:rsidR="004F0EE8">
        <w:t>an agency has</w:t>
      </w:r>
      <w:r>
        <w:t xml:space="preserve"> never utilized the “companionship services” exemption, the recent changes to federal law </w:t>
      </w:r>
      <w:r w:rsidR="004F0EE8">
        <w:t>would not apply</w:t>
      </w:r>
      <w:r>
        <w:t xml:space="preserve">.  However, </w:t>
      </w:r>
      <w:r w:rsidR="004F0EE8">
        <w:t>if an</w:t>
      </w:r>
      <w:r>
        <w:t xml:space="preserve"> agency is utilizing the “comp</w:t>
      </w:r>
      <w:r w:rsidR="004F0EE8">
        <w:t>anionship services” exemption, it</w:t>
      </w:r>
      <w:r>
        <w:t xml:space="preserve"> will no longer be able to do so in 2015.  Specifically, beginning January 1, 2015, such </w:t>
      </w:r>
      <w:r w:rsidR="00C238DB">
        <w:t xml:space="preserve">agency </w:t>
      </w:r>
      <w:r>
        <w:t>providers will be required to begin paying the applicable minimum wage and overtime to their employees, if they do not do so already.</w:t>
      </w:r>
    </w:p>
    <w:p w:rsidR="00A30499" w:rsidRDefault="00A30499"/>
    <w:p w:rsidR="00786E79" w:rsidRPr="00786E79" w:rsidRDefault="00786E79" w:rsidP="00786E79">
      <w:pPr>
        <w:pStyle w:val="ListParagraph"/>
        <w:numPr>
          <w:ilvl w:val="0"/>
          <w:numId w:val="4"/>
        </w:numPr>
        <w:rPr>
          <w:b/>
          <w:u w:val="single"/>
        </w:rPr>
      </w:pPr>
      <w:r w:rsidRPr="00786E79">
        <w:rPr>
          <w:b/>
          <w:u w:val="single"/>
        </w:rPr>
        <w:t>Current Law</w:t>
      </w:r>
    </w:p>
    <w:p w:rsidR="00786E79" w:rsidRDefault="00786E79" w:rsidP="00786E79"/>
    <w:p w:rsidR="00A30499" w:rsidRDefault="00786E79" w:rsidP="00786E79">
      <w:pPr>
        <w:ind w:firstLine="720"/>
      </w:pPr>
      <w:r>
        <w:t xml:space="preserve">Under current law, workers employed to provide “companionship services” are not required to be paid the minimum wage or overtime pay if their employment meets certain regulatory requirements.  </w:t>
      </w:r>
      <w:r w:rsidR="00B014A1">
        <w:t>For example, the worker</w:t>
      </w:r>
      <w:r w:rsidR="00DF7D14">
        <w:t>s</w:t>
      </w:r>
      <w:r w:rsidR="00B014A1">
        <w:t xml:space="preserve"> must provide the </w:t>
      </w:r>
      <w:r>
        <w:t xml:space="preserve">services to individuals in their own or </w:t>
      </w:r>
      <w:r w:rsidR="00B014A1">
        <w:t>their family’s home, and the worker</w:t>
      </w:r>
      <w:r w:rsidR="00DF7D14">
        <w:t>s</w:t>
      </w:r>
      <w:r w:rsidR="00B014A1">
        <w:t xml:space="preserve"> </w:t>
      </w:r>
      <w:r>
        <w:t xml:space="preserve">may not spend more than 20% of their total weekly hours performing general non-patient related household work that is incidental to the care of the individual(s) they are serving.  </w:t>
      </w:r>
    </w:p>
    <w:p w:rsidR="00786E79" w:rsidRDefault="00786E79" w:rsidP="00786E79"/>
    <w:p w:rsidR="00786E79" w:rsidRPr="00786E79" w:rsidRDefault="00786E79" w:rsidP="00786E79">
      <w:pPr>
        <w:pStyle w:val="ListParagraph"/>
        <w:numPr>
          <w:ilvl w:val="0"/>
          <w:numId w:val="4"/>
        </w:numPr>
        <w:rPr>
          <w:b/>
          <w:u w:val="single"/>
        </w:rPr>
      </w:pPr>
      <w:r w:rsidRPr="00786E79">
        <w:rPr>
          <w:b/>
          <w:u w:val="single"/>
        </w:rPr>
        <w:t>Change</w:t>
      </w:r>
      <w:r w:rsidR="00B014A1">
        <w:rPr>
          <w:b/>
          <w:u w:val="single"/>
        </w:rPr>
        <w:t>s and Other Considerations</w:t>
      </w:r>
    </w:p>
    <w:p w:rsidR="00A30499" w:rsidRDefault="00A30499">
      <w:pPr>
        <w:ind w:firstLine="720"/>
      </w:pPr>
    </w:p>
    <w:p w:rsidR="00A30499" w:rsidRPr="001C6CBF" w:rsidRDefault="00786E79">
      <w:pPr>
        <w:ind w:firstLine="720"/>
        <w:rPr>
          <w:b/>
        </w:rPr>
      </w:pPr>
      <w:r>
        <w:t xml:space="preserve">Once the new regulations take effect on January 1, 2015, OPRA provider agencies </w:t>
      </w:r>
      <w:r w:rsidR="00B014A1">
        <w:t xml:space="preserve">may not claim </w:t>
      </w:r>
      <w:r>
        <w:t xml:space="preserve">the companionship services minimum wage and overtime exemption for any of their employees, </w:t>
      </w:r>
      <w:r w:rsidR="00B014A1">
        <w:t>regardless of the circumstances</w:t>
      </w:r>
      <w:r w:rsidRPr="001C6CBF">
        <w:rPr>
          <w:b/>
        </w:rPr>
        <w:t xml:space="preserve">.  In other words, as of 2015, </w:t>
      </w:r>
      <w:r w:rsidR="00B014A1" w:rsidRPr="001C6CBF">
        <w:rPr>
          <w:b/>
        </w:rPr>
        <w:t>OPRA member agencies that employ</w:t>
      </w:r>
      <w:r w:rsidR="00C238DB" w:rsidRPr="001C6CBF">
        <w:rPr>
          <w:b/>
        </w:rPr>
        <w:t xml:space="preserve"> </w:t>
      </w:r>
      <w:r w:rsidR="00B014A1" w:rsidRPr="001C6CBF">
        <w:rPr>
          <w:b/>
        </w:rPr>
        <w:t xml:space="preserve">direct care workers must pay those employees at least the federal </w:t>
      </w:r>
      <w:r w:rsidRPr="001C6CBF">
        <w:rPr>
          <w:b/>
        </w:rPr>
        <w:lastRenderedPageBreak/>
        <w:t>minimum wage and overtime</w:t>
      </w:r>
      <w:r w:rsidR="00B014A1" w:rsidRPr="001C6CBF">
        <w:rPr>
          <w:b/>
        </w:rPr>
        <w:t xml:space="preserve"> pay for hours in excess of</w:t>
      </w:r>
      <w:r w:rsidR="000C7640" w:rsidRPr="001C6CBF">
        <w:rPr>
          <w:b/>
        </w:rPr>
        <w:t xml:space="preserve"> forty (</w:t>
      </w:r>
      <w:r w:rsidR="00B014A1" w:rsidRPr="001C6CBF">
        <w:rPr>
          <w:b/>
        </w:rPr>
        <w:t>40</w:t>
      </w:r>
      <w:r w:rsidR="000C7640" w:rsidRPr="001C6CBF">
        <w:rPr>
          <w:b/>
        </w:rPr>
        <w:t>)</w:t>
      </w:r>
      <w:r w:rsidR="00B014A1" w:rsidRPr="001C6CBF">
        <w:rPr>
          <w:b/>
        </w:rPr>
        <w:t xml:space="preserve"> a week, unless some other minimum wage or </w:t>
      </w:r>
      <w:r w:rsidR="00FF1F27" w:rsidRPr="001C6CBF">
        <w:rPr>
          <w:b/>
        </w:rPr>
        <w:t xml:space="preserve">overtime </w:t>
      </w:r>
      <w:r w:rsidR="00B014A1" w:rsidRPr="001C6CBF">
        <w:rPr>
          <w:b/>
        </w:rPr>
        <w:t xml:space="preserve">exemption applies.  </w:t>
      </w:r>
      <w:r w:rsidRPr="001C6CBF">
        <w:rPr>
          <w:b/>
        </w:rPr>
        <w:t xml:space="preserve"> </w:t>
      </w:r>
    </w:p>
    <w:p w:rsidR="00B014A1" w:rsidRPr="00B014A1" w:rsidRDefault="00B014A1">
      <w:pPr>
        <w:ind w:firstLine="720"/>
      </w:pPr>
    </w:p>
    <w:p w:rsidR="00B014A1" w:rsidRDefault="00B014A1" w:rsidP="00B014A1">
      <w:pPr>
        <w:ind w:firstLine="720"/>
      </w:pPr>
      <w:r>
        <w:t xml:space="preserve">Although not an “exemption,” the FLSA does have regulations regarding the time an employee spends sleeping that may be of assistance to a provider faced with the new compliance landscape.  These regulations determine whether and to what extent an employer must count time an employee spends sleeping as compensable hours worked under the FLSA.  The FLSA’s sleep time regulations </w:t>
      </w:r>
      <w:r w:rsidR="00B2246A">
        <w:t>are</w:t>
      </w:r>
      <w:r>
        <w:t xml:space="preserve"> not affected by the new companionship regulations.  For those OPRA members who, until now, have not had to incur minimum wage and overtime pay expense for their “companionship” employees, the “sleep time” regulations may be able to limit the expense of compliance.  Thus, beginning in 2015, those OPRA members will need to be sure that they understand and are complying with the “sleep time” regulations for all of their employees, including those who formerly were eligible for the companionship services exemption.</w:t>
      </w:r>
      <w:r w:rsidR="00C238DB">
        <w:t xml:space="preserve">  </w:t>
      </w:r>
      <w:r w:rsidR="00DF7D14" w:rsidRPr="00DF7D14">
        <w:t>Th</w:t>
      </w:r>
      <w:r w:rsidR="00B2246A">
        <w:t>e “sleep time” regulations are</w:t>
      </w:r>
      <w:r w:rsidR="00DF7D14" w:rsidRPr="00DF7D14">
        <w:t xml:space="preserve"> complex and may require fact-specific analysis to determine their applicability.</w:t>
      </w:r>
    </w:p>
    <w:p w:rsidR="00786E79" w:rsidRDefault="00786E79" w:rsidP="00786E79"/>
    <w:p w:rsidR="00786E79" w:rsidRPr="00786E79" w:rsidRDefault="00786E79" w:rsidP="00786E79">
      <w:pPr>
        <w:rPr>
          <w:b/>
          <w:u w:val="single"/>
        </w:rPr>
      </w:pPr>
      <w:r w:rsidRPr="00786E79">
        <w:rPr>
          <w:b/>
          <w:u w:val="single"/>
        </w:rPr>
        <w:t>Challenges and Next Steps</w:t>
      </w:r>
      <w:r>
        <w:rPr>
          <w:b/>
          <w:u w:val="single"/>
        </w:rPr>
        <w:t xml:space="preserve"> for Providers</w:t>
      </w:r>
    </w:p>
    <w:p w:rsidR="00786E79" w:rsidRDefault="00786E79" w:rsidP="00786E79">
      <w:pPr>
        <w:pStyle w:val="ListParagraph"/>
      </w:pPr>
    </w:p>
    <w:p w:rsidR="00A30499" w:rsidRDefault="00786E79" w:rsidP="00786E79">
      <w:pPr>
        <w:ind w:firstLine="720"/>
      </w:pPr>
      <w:r>
        <w:t xml:space="preserve">For OPRA providers that utilize the “companionship services” exemption, this change in the federal regulations is going to present quite a challenge.  Providers that take advantage of this exemption will need to assess the impact that the changes will have on their business, as such changes will effectively drive up the cost of care.  The delayed implementation of the changes until 2015 </w:t>
      </w:r>
      <w:r w:rsidR="0089373E">
        <w:t>is intended to provide time to</w:t>
      </w:r>
      <w:r>
        <w:t xml:space="preserve"> states to consider the additional costs of the change</w:t>
      </w:r>
      <w:r w:rsidR="00B014A1">
        <w:t>s</w:t>
      </w:r>
      <w:r>
        <w:t xml:space="preserve"> and </w:t>
      </w:r>
      <w:r w:rsidR="0089373E">
        <w:t>to address the systemic costs to Medicaid providers</w:t>
      </w:r>
      <w:r>
        <w:t xml:space="preserve">.  OPRA will be working at the state level to discuss additional funding options for providers.  Providers, too, should start assessing and planning now for the 2015 changes.  For instance, such changes should be addressed at upcoming </w:t>
      </w:r>
      <w:r w:rsidR="0089373E">
        <w:t xml:space="preserve">2014 </w:t>
      </w:r>
      <w:r>
        <w:t>ISP meetings</w:t>
      </w:r>
      <w:r w:rsidR="0089373E">
        <w:t>,</w:t>
      </w:r>
      <w:r>
        <w:t xml:space="preserve"> so that plans can be made for </w:t>
      </w:r>
      <w:r w:rsidR="0089373E">
        <w:t>individuals</w:t>
      </w:r>
      <w:r w:rsidR="00C238DB">
        <w:t>’</w:t>
      </w:r>
      <w:r>
        <w:t xml:space="preserve"> future care needs.  </w:t>
      </w:r>
      <w:r w:rsidR="0089373E">
        <w:t xml:space="preserve">OPRA will be listening to providers’ concerns and will </w:t>
      </w:r>
      <w:r w:rsidR="00C94D7E">
        <w:t>hold</w:t>
      </w:r>
      <w:r w:rsidR="0089373E">
        <w:t xml:space="preserve"> trainings if OPRA members desire to learn more about the implementation of the new requirements.  </w:t>
      </w:r>
    </w:p>
    <w:p w:rsidR="00A30499" w:rsidRDefault="00A30499"/>
    <w:p w:rsidR="00A30499" w:rsidRDefault="00786E79">
      <w:pPr>
        <w:ind w:firstLine="720"/>
      </w:pPr>
      <w:r>
        <w:t>To determ</w:t>
      </w:r>
      <w:r w:rsidR="004F0EE8">
        <w:t>ine whether these changes apply</w:t>
      </w:r>
      <w:r>
        <w:t xml:space="preserve"> or to answer any questions </w:t>
      </w:r>
      <w:r w:rsidR="00C238DB">
        <w:t>about the changes or the use of the sleep time regulations</w:t>
      </w:r>
      <w:r>
        <w:t xml:space="preserve">, </w:t>
      </w:r>
      <w:r w:rsidR="004F0EE8">
        <w:t>providers may</w:t>
      </w:r>
      <w:r>
        <w:t xml:space="preserve"> want to consult with legal counsel.  As a reminder, OPRA members are entitled to two (2) free hours of legal services </w:t>
      </w:r>
      <w:r w:rsidR="00C238DB">
        <w:t xml:space="preserve">per year </w:t>
      </w:r>
      <w:r>
        <w:t xml:space="preserve">with the Vorys law firm as part of their annual member benefit.  Please feel free to contact Nelson Cary, a member of Vorys Labor and Employment Group, at 614-464-6396, or Suzanne Scrutton, a member of Vorys Health Care Group, at 614-464-8313.  </w:t>
      </w:r>
    </w:p>
    <w:p w:rsidR="0089373E" w:rsidRDefault="0089373E"/>
    <w:p w:rsidR="00A30499" w:rsidRDefault="00A30499"/>
    <w:p w:rsidR="00A30499" w:rsidRPr="001C6CBF" w:rsidRDefault="001C6CBF">
      <w:pPr>
        <w:framePr w:w="4766" w:h="700" w:hSpace="180" w:wrap="notBeside" w:vAnchor="page" w:hAnchor="text" w:y="16001" w:anchorLock="1"/>
        <w:rPr>
          <w:color w:val="FF0000"/>
          <w:sz w:val="14"/>
        </w:rPr>
      </w:pPr>
      <w:bookmarkStart w:id="7" w:name="vsLastFooter"/>
      <w:r>
        <w:rPr>
          <w:color w:val="FF0000"/>
          <w:sz w:val="14"/>
        </w:rPr>
        <w:t>9/24/2013 17617777 V.3</w:t>
      </w:r>
    </w:p>
    <w:bookmarkEnd w:id="7"/>
    <w:p w:rsidR="00A30499" w:rsidRPr="00B014A1" w:rsidRDefault="00786E79">
      <w:pPr>
        <w:rPr>
          <w:i/>
        </w:rPr>
      </w:pPr>
      <w:r>
        <w:rPr>
          <w:i/>
        </w:rPr>
        <w:t xml:space="preserve">Disclaimer:  </w:t>
      </w:r>
      <w:r w:rsidRPr="00B014A1">
        <w:rPr>
          <w:i/>
        </w:rPr>
        <w:t>This memorandum is for general information purposes and should not be regarded as legal advice.  As always, please let us know if you want more information or have questions about how these developments apply to your situation.</w:t>
      </w:r>
    </w:p>
    <w:sectPr w:rsidR="00A30499" w:rsidRPr="00B014A1" w:rsidSect="00A30499">
      <w:headerReference w:type="default" r:id="rId9"/>
      <w:headerReference w:type="first" r:id="rId10"/>
      <w:pgSz w:w="12240" w:h="15840" w:code="1"/>
      <w:pgMar w:top="1440" w:right="1440" w:bottom="1440" w:left="1440" w:header="720" w:footer="36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499" w:rsidRDefault="00786E79">
      <w:r>
        <w:separator/>
      </w:r>
    </w:p>
  </w:endnote>
  <w:endnote w:type="continuationSeparator" w:id="0">
    <w:p w:rsidR="00A30499" w:rsidRDefault="00786E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orys Logo">
    <w:panose1 w:val="02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499" w:rsidRDefault="00786E79">
      <w:r>
        <w:separator/>
      </w:r>
    </w:p>
  </w:footnote>
  <w:footnote w:type="continuationSeparator" w:id="0">
    <w:p w:rsidR="00A30499" w:rsidRDefault="00786E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499" w:rsidRDefault="00786E79">
    <w:pPr>
      <w:pStyle w:val="Header"/>
      <w:rPr>
        <w:rStyle w:val="HeaderFooter"/>
        <w:rFonts w:ascii="Vorys Logo" w:hAnsi="Vorys Logo"/>
        <w:sz w:val="44"/>
        <w:szCs w:val="44"/>
      </w:rPr>
    </w:pPr>
    <w:r>
      <w:rPr>
        <w:rStyle w:val="HeaderFooter"/>
        <w:rFonts w:ascii="Vorys Logo" w:hAnsi="Vorys Logo"/>
        <w:sz w:val="44"/>
        <w:szCs w:val="44"/>
      </w:rPr>
      <w:t>v</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88"/>
    </w:tblGrid>
    <w:tr w:rsidR="00A30499">
      <w:trPr>
        <w:trHeight w:val="287"/>
      </w:trPr>
      <w:tc>
        <w:tcPr>
          <w:tcW w:w="2088" w:type="dxa"/>
        </w:tcPr>
        <w:p w:rsidR="00A30499" w:rsidRDefault="00786E79">
          <w:pPr>
            <w:pStyle w:val="Header"/>
            <w:jc w:val="right"/>
            <w:rPr>
              <w:rStyle w:val="HeaderFooter"/>
            </w:rPr>
          </w:pPr>
          <w:r>
            <w:rPr>
              <w:rStyle w:val="HeaderFooter"/>
            </w:rPr>
            <w:t>Legal Counsel</w:t>
          </w:r>
        </w:p>
      </w:tc>
    </w:tr>
    <w:tr w:rsidR="00A30499">
      <w:trPr>
        <w:trHeight w:val="287"/>
      </w:trPr>
      <w:tc>
        <w:tcPr>
          <w:tcW w:w="2088" w:type="dxa"/>
        </w:tcPr>
        <w:p w:rsidR="00A30499" w:rsidRDefault="00A30499">
          <w:pPr>
            <w:pStyle w:val="Header"/>
            <w:jc w:val="right"/>
            <w:rPr>
              <w:rFonts w:ascii="Century Schoolbook" w:hAnsi="Century Schoolbook"/>
              <w:b/>
              <w:sz w:val="16"/>
              <w:szCs w:val="16"/>
            </w:rPr>
          </w:pPr>
        </w:p>
      </w:tc>
    </w:tr>
  </w:tbl>
  <w:bookmarkStart w:id="8" w:name="SecondHeaderPlaceholder"/>
  <w:bookmarkEnd w:id="8"/>
  <w:p w:rsidR="00A30499" w:rsidRDefault="00C11001">
    <w:pPr>
      <w:pStyle w:val="Header"/>
    </w:pPr>
    <w:r>
      <w:fldChar w:fldCharType="begin"/>
    </w:r>
    <w:r w:rsidR="00786E79">
      <w:instrText xml:space="preserve"> REF  To </w:instrText>
    </w:r>
    <w:r>
      <w:fldChar w:fldCharType="separate"/>
    </w:r>
    <w:r w:rsidR="00D975AE">
      <w:t>Ohio Provider Resource Association</w:t>
    </w:r>
    <w:r>
      <w:fldChar w:fldCharType="end"/>
    </w:r>
  </w:p>
  <w:p w:rsidR="00A30499" w:rsidRDefault="00C11001">
    <w:pPr>
      <w:pStyle w:val="Header"/>
    </w:pPr>
    <w:fldSimple w:instr=" STYLEREF Date \* MERGEFORMAT ">
      <w:r w:rsidR="00C94D7E">
        <w:rPr>
          <w:noProof/>
        </w:rPr>
        <w:t>September 24, 2013</w:t>
      </w:r>
    </w:fldSimple>
  </w:p>
  <w:p w:rsidR="00A30499" w:rsidRDefault="00786E79">
    <w:pPr>
      <w:pStyle w:val="Header"/>
      <w:rPr>
        <w:rStyle w:val="PageNumber"/>
      </w:rPr>
    </w:pPr>
    <w:r>
      <w:t xml:space="preserve">Page </w:t>
    </w:r>
    <w:r w:rsidR="00C11001">
      <w:rPr>
        <w:rStyle w:val="PageNumber"/>
      </w:rPr>
      <w:fldChar w:fldCharType="begin"/>
    </w:r>
    <w:r>
      <w:rPr>
        <w:rStyle w:val="PageNumber"/>
      </w:rPr>
      <w:instrText xml:space="preserve"> PAGE </w:instrText>
    </w:r>
    <w:r w:rsidR="00C11001">
      <w:rPr>
        <w:rStyle w:val="PageNumber"/>
      </w:rPr>
      <w:fldChar w:fldCharType="separate"/>
    </w:r>
    <w:r w:rsidR="00C94D7E">
      <w:rPr>
        <w:rStyle w:val="PageNumber"/>
        <w:noProof/>
      </w:rPr>
      <w:t>2</w:t>
    </w:r>
    <w:r w:rsidR="00C11001">
      <w:rPr>
        <w:rStyle w:val="PageNumber"/>
      </w:rPr>
      <w:fldChar w:fldCharType="end"/>
    </w:r>
  </w:p>
  <w:p w:rsidR="00A30499" w:rsidRDefault="00A30499">
    <w:pPr>
      <w:pStyle w:val="Header"/>
      <w:rPr>
        <w:rStyle w:val="PageNumbe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699" w:tblpY="1"/>
      <w:tblOverlap w:val="never"/>
      <w:tblW w:w="10642" w:type="dxa"/>
      <w:tblLayout w:type="fixed"/>
      <w:tblLook w:val="0000"/>
    </w:tblPr>
    <w:tblGrid>
      <w:gridCol w:w="5321"/>
      <w:gridCol w:w="5321"/>
    </w:tblGrid>
    <w:tr w:rsidR="00A30499">
      <w:trPr>
        <w:trHeight w:val="1800"/>
      </w:trPr>
      <w:tc>
        <w:tcPr>
          <w:tcW w:w="5321" w:type="dxa"/>
        </w:tcPr>
        <w:p w:rsidR="00A30499" w:rsidRDefault="00786E79">
          <w:pPr>
            <w:pStyle w:val="Header"/>
            <w:rPr>
              <w:rStyle w:val="HeaderFooter"/>
              <w:rFonts w:ascii="Vorys Logo" w:hAnsi="Vorys Logo"/>
              <w:color w:val="17365D" w:themeColor="text2" w:themeShade="BF"/>
              <w:sz w:val="72"/>
            </w:rPr>
          </w:pPr>
          <w:r>
            <w:rPr>
              <w:rStyle w:val="HeaderFooter"/>
              <w:rFonts w:ascii="Vorys Logo" w:hAnsi="Vorys Logo"/>
              <w:color w:val="17365D" w:themeColor="text2" w:themeShade="BF"/>
              <w:sz w:val="72"/>
            </w:rPr>
            <w:t>v</w:t>
          </w:r>
        </w:p>
        <w:p w:rsidR="00A30499" w:rsidRDefault="00786E79">
          <w:pPr>
            <w:pStyle w:val="Header"/>
            <w:rPr>
              <w:rStyle w:val="HeaderFooter"/>
              <w:color w:val="17365D" w:themeColor="text2" w:themeShade="BF"/>
              <w:sz w:val="19"/>
            </w:rPr>
          </w:pPr>
          <w:r>
            <w:rPr>
              <w:rStyle w:val="HeaderFooter"/>
              <w:color w:val="17365D" w:themeColor="text2" w:themeShade="BF"/>
              <w:sz w:val="19"/>
            </w:rPr>
            <w:t>Vorys, Sater, Seymour and Pease LLP</w:t>
          </w:r>
        </w:p>
        <w:p w:rsidR="00A30499" w:rsidRDefault="00786E79">
          <w:pPr>
            <w:pStyle w:val="Header"/>
            <w:rPr>
              <w:rFonts w:ascii="Century Schoolbook" w:hAnsi="Century Schoolbook"/>
            </w:rPr>
          </w:pPr>
          <w:r>
            <w:rPr>
              <w:rStyle w:val="HeaderFooter"/>
              <w:color w:val="17365D" w:themeColor="text2" w:themeShade="BF"/>
            </w:rPr>
            <w:t>Legal Counsel</w:t>
          </w:r>
        </w:p>
      </w:tc>
      <w:tc>
        <w:tcPr>
          <w:tcW w:w="5321" w:type="dxa"/>
        </w:tcPr>
        <w:p w:rsidR="00A30499" w:rsidRDefault="00A30499">
          <w:pPr>
            <w:pStyle w:val="Header"/>
            <w:jc w:val="right"/>
            <w:rPr>
              <w:rStyle w:val="HeaderFooterOfficeInfo"/>
              <w:color w:val="17365D" w:themeColor="text2" w:themeShade="BF"/>
            </w:rPr>
          </w:pPr>
        </w:p>
      </w:tc>
    </w:tr>
  </w:tbl>
  <w:p w:rsidR="00A30499" w:rsidRDefault="00A30499">
    <w:pPr>
      <w:pStyle w:val="Header"/>
      <w:rPr>
        <w:rFonts w:ascii="Century Schoolbook" w:hAnsi="Century Schoolbook"/>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F60AB"/>
    <w:multiLevelType w:val="hybridMultilevel"/>
    <w:tmpl w:val="2C6219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A02E2"/>
    <w:multiLevelType w:val="hybridMultilevel"/>
    <w:tmpl w:val="4CC483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27766B"/>
    <w:multiLevelType w:val="hybridMultilevel"/>
    <w:tmpl w:val="4FB09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3C0599"/>
    <w:multiLevelType w:val="hybridMultilevel"/>
    <w:tmpl w:val="8E5A8A6C"/>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1F2A97"/>
    <w:multiLevelType w:val="hybridMultilevel"/>
    <w:tmpl w:val="23D6397C"/>
    <w:lvl w:ilvl="0" w:tplc="944A4B88">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FC1E1D"/>
    <w:multiLevelType w:val="hybridMultilevel"/>
    <w:tmpl w:val="6FD6ECA4"/>
    <w:lvl w:ilvl="0" w:tplc="2304B8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rawingGridHorizontalSpacing w:val="120"/>
  <w:displayHorizontalDrawingGridEvery w:val="2"/>
  <w:noPunctuationKerning/>
  <w:characterSpacingControl w:val="doNotCompress"/>
  <w:hdrShapeDefaults>
    <o:shapedefaults v:ext="edit" spidmax="157697"/>
  </w:hdrShapeDefaults>
  <w:footnotePr>
    <w:footnote w:id="-1"/>
    <w:footnote w:id="0"/>
  </w:footnotePr>
  <w:endnotePr>
    <w:endnote w:id="-1"/>
    <w:endnote w:id="0"/>
  </w:endnotePr>
  <w:compat/>
  <w:rsids>
    <w:rsidRoot w:val="00A30499"/>
    <w:rsid w:val="000C7640"/>
    <w:rsid w:val="000C7DD6"/>
    <w:rsid w:val="001C6CBF"/>
    <w:rsid w:val="002C3AB6"/>
    <w:rsid w:val="00487838"/>
    <w:rsid w:val="004C3538"/>
    <w:rsid w:val="004F0EE8"/>
    <w:rsid w:val="00651D13"/>
    <w:rsid w:val="00664FD8"/>
    <w:rsid w:val="00746D2C"/>
    <w:rsid w:val="00786E79"/>
    <w:rsid w:val="007A7B60"/>
    <w:rsid w:val="007E2F3B"/>
    <w:rsid w:val="008434DC"/>
    <w:rsid w:val="00843EE9"/>
    <w:rsid w:val="0089373E"/>
    <w:rsid w:val="009512CD"/>
    <w:rsid w:val="00971BCD"/>
    <w:rsid w:val="00A30499"/>
    <w:rsid w:val="00B014A1"/>
    <w:rsid w:val="00B2246A"/>
    <w:rsid w:val="00C11001"/>
    <w:rsid w:val="00C238DB"/>
    <w:rsid w:val="00C94D7E"/>
    <w:rsid w:val="00D1083E"/>
    <w:rsid w:val="00D975AE"/>
    <w:rsid w:val="00DF7D14"/>
    <w:rsid w:val="00FF1F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0499"/>
    <w:rPr>
      <w:sz w:val="24"/>
    </w:rPr>
  </w:style>
  <w:style w:type="paragraph" w:styleId="Heading1">
    <w:name w:val="heading 1"/>
    <w:basedOn w:val="Normal"/>
    <w:next w:val="BodyText"/>
    <w:qFormat/>
    <w:rsid w:val="00A30499"/>
    <w:pPr>
      <w:keepNext/>
      <w:spacing w:after="240"/>
      <w:outlineLvl w:val="0"/>
    </w:pPr>
    <w:rPr>
      <w:b/>
    </w:rPr>
  </w:style>
  <w:style w:type="paragraph" w:styleId="Heading2">
    <w:name w:val="heading 2"/>
    <w:basedOn w:val="Normal"/>
    <w:next w:val="Normal"/>
    <w:qFormat/>
    <w:rsid w:val="00A30499"/>
    <w:pPr>
      <w:keepNext/>
      <w:spacing w:after="240"/>
      <w:outlineLvl w:val="1"/>
    </w:pPr>
    <w:rPr>
      <w:b/>
      <w:i/>
    </w:rPr>
  </w:style>
  <w:style w:type="paragraph" w:styleId="Heading3">
    <w:name w:val="heading 3"/>
    <w:basedOn w:val="Normal"/>
    <w:next w:val="BodyText"/>
    <w:qFormat/>
    <w:rsid w:val="00A30499"/>
    <w:pPr>
      <w:keepNext/>
      <w:spacing w:after="240"/>
      <w:outlineLvl w:val="2"/>
    </w:pPr>
  </w:style>
  <w:style w:type="paragraph" w:styleId="Heading4">
    <w:name w:val="heading 4"/>
    <w:basedOn w:val="Normal"/>
    <w:next w:val="Normal"/>
    <w:qFormat/>
    <w:rsid w:val="00A30499"/>
    <w:pPr>
      <w:keepNext/>
      <w:spacing w:after="24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0499"/>
    <w:pPr>
      <w:spacing w:line="480" w:lineRule="auto"/>
      <w:ind w:firstLine="1440"/>
    </w:pPr>
  </w:style>
  <w:style w:type="paragraph" w:customStyle="1" w:styleId="HeadingText">
    <w:name w:val="Heading Text"/>
    <w:basedOn w:val="Normal"/>
    <w:rsid w:val="00A30499"/>
    <w:rPr>
      <w:noProof/>
    </w:rPr>
  </w:style>
  <w:style w:type="paragraph" w:styleId="Date">
    <w:name w:val="Date"/>
    <w:basedOn w:val="HeadingText"/>
    <w:rsid w:val="00A30499"/>
  </w:style>
  <w:style w:type="paragraph" w:styleId="EnvelopeAddress">
    <w:name w:val="envelope address"/>
    <w:basedOn w:val="Normal"/>
    <w:rsid w:val="00A30499"/>
    <w:pPr>
      <w:framePr w:w="7920" w:h="1980" w:hRule="exact" w:hSpace="180" w:wrap="auto" w:hAnchor="page" w:xAlign="center" w:yAlign="bottom"/>
      <w:ind w:left="2880"/>
    </w:pPr>
  </w:style>
  <w:style w:type="paragraph" w:styleId="EnvelopeReturn">
    <w:name w:val="envelope return"/>
    <w:basedOn w:val="Normal"/>
    <w:rsid w:val="00A30499"/>
    <w:rPr>
      <w:sz w:val="20"/>
    </w:rPr>
  </w:style>
  <w:style w:type="paragraph" w:styleId="Footer">
    <w:name w:val="footer"/>
    <w:basedOn w:val="Normal"/>
    <w:rsid w:val="00A30499"/>
    <w:pPr>
      <w:tabs>
        <w:tab w:val="center" w:pos="4680"/>
        <w:tab w:val="right" w:pos="9360"/>
      </w:tabs>
    </w:pPr>
  </w:style>
  <w:style w:type="paragraph" w:styleId="Header">
    <w:name w:val="header"/>
    <w:basedOn w:val="Normal"/>
    <w:rsid w:val="00A30499"/>
    <w:pPr>
      <w:tabs>
        <w:tab w:val="center" w:pos="4680"/>
        <w:tab w:val="right" w:pos="9360"/>
      </w:tabs>
    </w:pPr>
  </w:style>
  <w:style w:type="character" w:customStyle="1" w:styleId="HeaderFooter">
    <w:name w:val="HeaderFooter"/>
    <w:basedOn w:val="DefaultParagraphFont"/>
    <w:rsid w:val="00A30499"/>
    <w:rPr>
      <w:rFonts w:ascii="Century Schoolbook" w:hAnsi="Century Schoolbook"/>
      <w:b/>
      <w:dstrike w:val="0"/>
      <w:noProof/>
      <w:sz w:val="18"/>
      <w:szCs w:val="16"/>
      <w:vertAlign w:val="baseline"/>
    </w:rPr>
  </w:style>
  <w:style w:type="paragraph" w:customStyle="1" w:styleId="HeadingTitle">
    <w:name w:val="Heading Title"/>
    <w:basedOn w:val="Normal"/>
    <w:rsid w:val="00A30499"/>
    <w:rPr>
      <w:b/>
      <w:caps/>
    </w:rPr>
  </w:style>
  <w:style w:type="paragraph" w:customStyle="1" w:styleId="MemoHeading">
    <w:name w:val="Memo Heading"/>
    <w:basedOn w:val="Normal"/>
    <w:link w:val="MemoHeadingChar"/>
    <w:rsid w:val="00A30499"/>
    <w:pPr>
      <w:spacing w:after="480"/>
      <w:jc w:val="center"/>
    </w:pPr>
    <w:rPr>
      <w:b/>
      <w:noProof/>
      <w:spacing w:val="120"/>
      <w:sz w:val="28"/>
      <w:u w:val="single"/>
    </w:rPr>
  </w:style>
  <w:style w:type="character" w:styleId="PageNumber">
    <w:name w:val="page number"/>
    <w:basedOn w:val="DefaultParagraphFont"/>
    <w:rsid w:val="00A30499"/>
  </w:style>
  <w:style w:type="paragraph" w:customStyle="1" w:styleId="Privilege">
    <w:name w:val="Privilege"/>
    <w:basedOn w:val="MemoHeading"/>
    <w:rsid w:val="00A30499"/>
    <w:rPr>
      <w:b w:val="0"/>
      <w:caps/>
      <w:spacing w:val="20"/>
      <w:sz w:val="24"/>
      <w:szCs w:val="24"/>
      <w:u w:val="none"/>
    </w:rPr>
  </w:style>
  <w:style w:type="paragraph" w:customStyle="1" w:styleId="ReLine">
    <w:name w:val="ReLine"/>
    <w:basedOn w:val="Normal"/>
    <w:rsid w:val="00A30499"/>
  </w:style>
  <w:style w:type="table" w:styleId="TableGrid">
    <w:name w:val="Table Grid"/>
    <w:basedOn w:val="TableNormal"/>
    <w:rsid w:val="00A304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FooterOfficeInfo">
    <w:name w:val="HeaderFooterOfficeInfo"/>
    <w:basedOn w:val="DefaultParagraphFont"/>
    <w:rsid w:val="00A30499"/>
    <w:rPr>
      <w:rFonts w:ascii="Century Schoolbook" w:hAnsi="Century Schoolbook"/>
      <w:b/>
      <w:noProof/>
      <w:vanish w:val="0"/>
      <w:color w:val="auto"/>
      <w:sz w:val="16"/>
    </w:rPr>
  </w:style>
  <w:style w:type="paragraph" w:customStyle="1" w:styleId="PartnerList">
    <w:name w:val="PartnerList"/>
    <w:basedOn w:val="Normal"/>
    <w:link w:val="PartnerListChar"/>
    <w:rsid w:val="00A30499"/>
    <w:rPr>
      <w:rFonts w:ascii="Tahoma" w:hAnsi="Tahoma"/>
      <w:b/>
      <w:color w:val="404040"/>
      <w:sz w:val="8"/>
    </w:rPr>
  </w:style>
  <w:style w:type="character" w:customStyle="1" w:styleId="MemoHeadingChar">
    <w:name w:val="Memo Heading Char"/>
    <w:basedOn w:val="DefaultParagraphFont"/>
    <w:link w:val="MemoHeading"/>
    <w:rsid w:val="00A30499"/>
    <w:rPr>
      <w:b/>
      <w:noProof/>
      <w:spacing w:val="120"/>
      <w:sz w:val="28"/>
      <w:u w:val="single"/>
    </w:rPr>
  </w:style>
  <w:style w:type="character" w:customStyle="1" w:styleId="PartnerListChar">
    <w:name w:val="PartnerList Char"/>
    <w:basedOn w:val="MemoHeadingChar"/>
    <w:link w:val="PartnerList"/>
    <w:rsid w:val="00A30499"/>
    <w:rPr>
      <w:rFonts w:ascii="Tahoma" w:hAnsi="Tahoma"/>
      <w:color w:val="404040"/>
      <w:sz w:val="8"/>
    </w:rPr>
  </w:style>
  <w:style w:type="paragraph" w:customStyle="1" w:styleId="vsLastFooter">
    <w:name w:val="vsLastFooter"/>
    <w:basedOn w:val="MemoHeading"/>
    <w:next w:val="Normal"/>
    <w:rsid w:val="00A30499"/>
    <w:pPr>
      <w:widowControl w:val="0"/>
      <w:spacing w:after="240" w:line="240" w:lineRule="exact"/>
      <w:jc w:val="left"/>
    </w:pPr>
    <w:rPr>
      <w:rFonts w:ascii="Arial" w:hAnsi="Arial" w:cs="Arial"/>
      <w:color w:val="FF0000"/>
      <w:sz w:val="14"/>
    </w:rPr>
  </w:style>
  <w:style w:type="character" w:customStyle="1" w:styleId="vsDraft">
    <w:name w:val="vsDraft"/>
    <w:basedOn w:val="DefaultParagraphFont"/>
    <w:rsid w:val="00A30499"/>
    <w:rPr>
      <w:b/>
      <w:noProof/>
    </w:rPr>
  </w:style>
  <w:style w:type="paragraph" w:styleId="ListParagraph">
    <w:name w:val="List Paragraph"/>
    <w:basedOn w:val="Normal"/>
    <w:uiPriority w:val="34"/>
    <w:qFormat/>
    <w:rsid w:val="00786E79"/>
    <w:pPr>
      <w:ind w:left="720"/>
      <w:contextualSpacing/>
    </w:pPr>
  </w:style>
</w:styles>
</file>

<file path=word/webSettings.xml><?xml version="1.0" encoding="utf-8"?>
<w:webSettings xmlns:r="http://schemas.openxmlformats.org/officeDocument/2006/relationships" xmlns:w="http://schemas.openxmlformats.org/wordprocessingml/2006/main">
  <w:divs>
    <w:div w:id="168909796">
      <w:bodyDiv w:val="1"/>
      <w:marLeft w:val="0"/>
      <w:marRight w:val="0"/>
      <w:marTop w:val="0"/>
      <w:marBottom w:val="0"/>
      <w:divBdr>
        <w:top w:val="none" w:sz="0" w:space="0" w:color="auto"/>
        <w:left w:val="none" w:sz="0" w:space="0" w:color="auto"/>
        <w:bottom w:val="none" w:sz="0" w:space="0" w:color="auto"/>
        <w:right w:val="none" w:sz="0" w:space="0" w:color="auto"/>
      </w:divBdr>
      <w:divsChild>
        <w:div w:id="1247567558">
          <w:marLeft w:val="360"/>
          <w:marRight w:val="0"/>
          <w:marTop w:val="0"/>
          <w:marBottom w:val="173"/>
          <w:divBdr>
            <w:top w:val="none" w:sz="0" w:space="0" w:color="auto"/>
            <w:left w:val="none" w:sz="0" w:space="0" w:color="auto"/>
            <w:bottom w:val="none" w:sz="0" w:space="0" w:color="auto"/>
            <w:right w:val="none" w:sz="0" w:space="0" w:color="auto"/>
          </w:divBdr>
        </w:div>
        <w:div w:id="1734501273">
          <w:marLeft w:val="360"/>
          <w:marRight w:val="0"/>
          <w:marTop w:val="0"/>
          <w:marBottom w:val="173"/>
          <w:divBdr>
            <w:top w:val="none" w:sz="0" w:space="0" w:color="auto"/>
            <w:left w:val="none" w:sz="0" w:space="0" w:color="auto"/>
            <w:bottom w:val="none" w:sz="0" w:space="0" w:color="auto"/>
            <w:right w:val="none" w:sz="0" w:space="0" w:color="auto"/>
          </w:divBdr>
        </w:div>
      </w:divsChild>
    </w:div>
    <w:div w:id="206182517">
      <w:bodyDiv w:val="1"/>
      <w:marLeft w:val="0"/>
      <w:marRight w:val="0"/>
      <w:marTop w:val="0"/>
      <w:marBottom w:val="0"/>
      <w:divBdr>
        <w:top w:val="none" w:sz="0" w:space="0" w:color="auto"/>
        <w:left w:val="none" w:sz="0" w:space="0" w:color="auto"/>
        <w:bottom w:val="none" w:sz="0" w:space="0" w:color="auto"/>
        <w:right w:val="none" w:sz="0" w:space="0" w:color="auto"/>
      </w:divBdr>
    </w:div>
    <w:div w:id="667250934">
      <w:bodyDiv w:val="1"/>
      <w:marLeft w:val="0"/>
      <w:marRight w:val="0"/>
      <w:marTop w:val="0"/>
      <w:marBottom w:val="0"/>
      <w:divBdr>
        <w:top w:val="none" w:sz="0" w:space="0" w:color="auto"/>
        <w:left w:val="none" w:sz="0" w:space="0" w:color="auto"/>
        <w:bottom w:val="none" w:sz="0" w:space="0" w:color="auto"/>
        <w:right w:val="none" w:sz="0" w:space="0" w:color="auto"/>
      </w:divBdr>
    </w:div>
    <w:div w:id="942686599">
      <w:bodyDiv w:val="1"/>
      <w:marLeft w:val="0"/>
      <w:marRight w:val="0"/>
      <w:marTop w:val="0"/>
      <w:marBottom w:val="0"/>
      <w:divBdr>
        <w:top w:val="none" w:sz="0" w:space="0" w:color="auto"/>
        <w:left w:val="none" w:sz="0" w:space="0" w:color="auto"/>
        <w:bottom w:val="none" w:sz="0" w:space="0" w:color="auto"/>
        <w:right w:val="none" w:sz="0" w:space="0" w:color="auto"/>
      </w:divBdr>
    </w:div>
    <w:div w:id="1066800919">
      <w:bodyDiv w:val="1"/>
      <w:marLeft w:val="0"/>
      <w:marRight w:val="0"/>
      <w:marTop w:val="0"/>
      <w:marBottom w:val="0"/>
      <w:divBdr>
        <w:top w:val="none" w:sz="0" w:space="0" w:color="auto"/>
        <w:left w:val="none" w:sz="0" w:space="0" w:color="auto"/>
        <w:bottom w:val="none" w:sz="0" w:space="0" w:color="auto"/>
        <w:right w:val="none" w:sz="0" w:space="0" w:color="auto"/>
      </w:divBdr>
    </w:div>
    <w:div w:id="1164248466">
      <w:bodyDiv w:val="1"/>
      <w:marLeft w:val="0"/>
      <w:marRight w:val="0"/>
      <w:marTop w:val="0"/>
      <w:marBottom w:val="0"/>
      <w:divBdr>
        <w:top w:val="none" w:sz="0" w:space="0" w:color="auto"/>
        <w:left w:val="none" w:sz="0" w:space="0" w:color="auto"/>
        <w:bottom w:val="none" w:sz="0" w:space="0" w:color="auto"/>
        <w:right w:val="none" w:sz="0" w:space="0" w:color="auto"/>
      </w:divBdr>
    </w:div>
    <w:div w:id="1336028806">
      <w:bodyDiv w:val="1"/>
      <w:marLeft w:val="0"/>
      <w:marRight w:val="0"/>
      <w:marTop w:val="0"/>
      <w:marBottom w:val="0"/>
      <w:divBdr>
        <w:top w:val="none" w:sz="0" w:space="0" w:color="auto"/>
        <w:left w:val="none" w:sz="0" w:space="0" w:color="auto"/>
        <w:bottom w:val="none" w:sz="0" w:space="0" w:color="auto"/>
        <w:right w:val="none" w:sz="0" w:space="0" w:color="auto"/>
      </w:divBdr>
      <w:divsChild>
        <w:div w:id="588580126">
          <w:marLeft w:val="0"/>
          <w:marRight w:val="0"/>
          <w:marTop w:val="0"/>
          <w:marBottom w:val="0"/>
          <w:divBdr>
            <w:top w:val="none" w:sz="0" w:space="0" w:color="auto"/>
            <w:left w:val="none" w:sz="0" w:space="0" w:color="auto"/>
            <w:bottom w:val="none" w:sz="0" w:space="0" w:color="auto"/>
            <w:right w:val="none" w:sz="0" w:space="0" w:color="auto"/>
          </w:divBdr>
          <w:divsChild>
            <w:div w:id="987978592">
              <w:marLeft w:val="120"/>
              <w:marRight w:val="120"/>
              <w:marTop w:val="0"/>
              <w:marBottom w:val="0"/>
              <w:divBdr>
                <w:top w:val="none" w:sz="0" w:space="0" w:color="auto"/>
                <w:left w:val="none" w:sz="0" w:space="0" w:color="auto"/>
                <w:bottom w:val="none" w:sz="0" w:space="0" w:color="auto"/>
                <w:right w:val="none" w:sz="0" w:space="0" w:color="auto"/>
              </w:divBdr>
              <w:divsChild>
                <w:div w:id="1455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77344">
      <w:bodyDiv w:val="1"/>
      <w:marLeft w:val="0"/>
      <w:marRight w:val="0"/>
      <w:marTop w:val="0"/>
      <w:marBottom w:val="0"/>
      <w:divBdr>
        <w:top w:val="none" w:sz="0" w:space="0" w:color="auto"/>
        <w:left w:val="none" w:sz="0" w:space="0" w:color="auto"/>
        <w:bottom w:val="none" w:sz="0" w:space="0" w:color="auto"/>
        <w:right w:val="none" w:sz="0" w:space="0" w:color="auto"/>
      </w:divBdr>
    </w:div>
    <w:div w:id="1780831787">
      <w:bodyDiv w:val="1"/>
      <w:marLeft w:val="0"/>
      <w:marRight w:val="0"/>
      <w:marTop w:val="0"/>
      <w:marBottom w:val="0"/>
      <w:divBdr>
        <w:top w:val="none" w:sz="0" w:space="0" w:color="auto"/>
        <w:left w:val="none" w:sz="0" w:space="0" w:color="auto"/>
        <w:bottom w:val="none" w:sz="0" w:space="0" w:color="auto"/>
        <w:right w:val="none" w:sz="0" w:space="0" w:color="auto"/>
      </w:divBdr>
      <w:divsChild>
        <w:div w:id="1063138972">
          <w:marLeft w:val="360"/>
          <w:marRight w:val="0"/>
          <w:marTop w:val="0"/>
          <w:marBottom w:val="173"/>
          <w:divBdr>
            <w:top w:val="none" w:sz="0" w:space="0" w:color="auto"/>
            <w:left w:val="none" w:sz="0" w:space="0" w:color="auto"/>
            <w:bottom w:val="none" w:sz="0" w:space="0" w:color="auto"/>
            <w:right w:val="none" w:sz="0" w:space="0" w:color="auto"/>
          </w:divBdr>
        </w:div>
        <w:div w:id="506139661">
          <w:marLeft w:val="360"/>
          <w:marRight w:val="0"/>
          <w:marTop w:val="0"/>
          <w:marBottom w:val="173"/>
          <w:divBdr>
            <w:top w:val="none" w:sz="0" w:space="0" w:color="auto"/>
            <w:left w:val="none" w:sz="0" w:space="0" w:color="auto"/>
            <w:bottom w:val="none" w:sz="0" w:space="0" w:color="auto"/>
            <w:right w:val="none" w:sz="0" w:space="0" w:color="auto"/>
          </w:divBdr>
        </w:div>
        <w:div w:id="923683177">
          <w:marLeft w:val="360"/>
          <w:marRight w:val="0"/>
          <w:marTop w:val="0"/>
          <w:marBottom w:val="173"/>
          <w:divBdr>
            <w:top w:val="none" w:sz="0" w:space="0" w:color="auto"/>
            <w:left w:val="none" w:sz="0" w:space="0" w:color="auto"/>
            <w:bottom w:val="none" w:sz="0" w:space="0" w:color="auto"/>
            <w:right w:val="none" w:sz="0" w:space="0" w:color="auto"/>
          </w:divBdr>
        </w:div>
      </w:divsChild>
    </w:div>
    <w:div w:id="1868330026">
      <w:bodyDiv w:val="1"/>
      <w:marLeft w:val="0"/>
      <w:marRight w:val="0"/>
      <w:marTop w:val="0"/>
      <w:marBottom w:val="0"/>
      <w:divBdr>
        <w:top w:val="none" w:sz="0" w:space="0" w:color="auto"/>
        <w:left w:val="none" w:sz="0" w:space="0" w:color="auto"/>
        <w:bottom w:val="none" w:sz="0" w:space="0" w:color="auto"/>
        <w:right w:val="none" w:sz="0" w:space="0" w:color="auto"/>
      </w:divBdr>
      <w:divsChild>
        <w:div w:id="1825388072">
          <w:marLeft w:val="360"/>
          <w:marRight w:val="0"/>
          <w:marTop w:val="0"/>
          <w:marBottom w:val="173"/>
          <w:divBdr>
            <w:top w:val="none" w:sz="0" w:space="0" w:color="auto"/>
            <w:left w:val="none" w:sz="0" w:space="0" w:color="auto"/>
            <w:bottom w:val="none" w:sz="0" w:space="0" w:color="auto"/>
            <w:right w:val="none" w:sz="0" w:space="0" w:color="auto"/>
          </w:divBdr>
        </w:div>
        <w:div w:id="790635977">
          <w:marLeft w:val="360"/>
          <w:marRight w:val="0"/>
          <w:marTop w:val="0"/>
          <w:marBottom w:val="173"/>
          <w:divBdr>
            <w:top w:val="none" w:sz="0" w:space="0" w:color="auto"/>
            <w:left w:val="none" w:sz="0" w:space="0" w:color="auto"/>
            <w:bottom w:val="none" w:sz="0" w:space="0" w:color="auto"/>
            <w:right w:val="none" w:sz="0" w:space="0" w:color="auto"/>
          </w:divBdr>
        </w:div>
        <w:div w:id="824394886">
          <w:marLeft w:val="360"/>
          <w:marRight w:val="0"/>
          <w:marTop w:val="0"/>
          <w:marBottom w:val="173"/>
          <w:divBdr>
            <w:top w:val="none" w:sz="0" w:space="0" w:color="auto"/>
            <w:left w:val="none" w:sz="0" w:space="0" w:color="auto"/>
            <w:bottom w:val="none" w:sz="0" w:space="0" w:color="auto"/>
            <w:right w:val="none" w:sz="0" w:space="0" w:color="auto"/>
          </w:divBdr>
        </w:div>
      </w:divsChild>
    </w:div>
    <w:div w:id="1956935465">
      <w:bodyDiv w:val="1"/>
      <w:marLeft w:val="0"/>
      <w:marRight w:val="0"/>
      <w:marTop w:val="0"/>
      <w:marBottom w:val="0"/>
      <w:divBdr>
        <w:top w:val="none" w:sz="0" w:space="0" w:color="auto"/>
        <w:left w:val="none" w:sz="0" w:space="0" w:color="auto"/>
        <w:bottom w:val="none" w:sz="0" w:space="0" w:color="auto"/>
        <w:right w:val="none" w:sz="0" w:space="0" w:color="auto"/>
      </w:divBdr>
      <w:divsChild>
        <w:div w:id="1599560438">
          <w:marLeft w:val="360"/>
          <w:marRight w:val="0"/>
          <w:marTop w:val="0"/>
          <w:marBottom w:val="173"/>
          <w:divBdr>
            <w:top w:val="none" w:sz="0" w:space="0" w:color="auto"/>
            <w:left w:val="none" w:sz="0" w:space="0" w:color="auto"/>
            <w:bottom w:val="none" w:sz="0" w:space="0" w:color="auto"/>
            <w:right w:val="none" w:sz="0" w:space="0" w:color="auto"/>
          </w:divBdr>
        </w:div>
        <w:div w:id="925923830">
          <w:marLeft w:val="360"/>
          <w:marRight w:val="0"/>
          <w:marTop w:val="0"/>
          <w:marBottom w:val="173"/>
          <w:divBdr>
            <w:top w:val="none" w:sz="0" w:space="0" w:color="auto"/>
            <w:left w:val="none" w:sz="0" w:space="0" w:color="auto"/>
            <w:bottom w:val="none" w:sz="0" w:space="0" w:color="auto"/>
            <w:right w:val="none" w:sz="0" w:space="0" w:color="auto"/>
          </w:divBdr>
        </w:div>
      </w:divsChild>
    </w:div>
    <w:div w:id="2024893133">
      <w:bodyDiv w:val="1"/>
      <w:marLeft w:val="0"/>
      <w:marRight w:val="0"/>
      <w:marTop w:val="0"/>
      <w:marBottom w:val="0"/>
      <w:divBdr>
        <w:top w:val="none" w:sz="0" w:space="0" w:color="auto"/>
        <w:left w:val="none" w:sz="0" w:space="0" w:color="auto"/>
        <w:bottom w:val="none" w:sz="0" w:space="0" w:color="auto"/>
        <w:right w:val="none" w:sz="0" w:space="0" w:color="auto"/>
      </w:divBdr>
      <w:divsChild>
        <w:div w:id="1311056064">
          <w:marLeft w:val="0"/>
          <w:marRight w:val="0"/>
          <w:marTop w:val="0"/>
          <w:marBottom w:val="0"/>
          <w:divBdr>
            <w:top w:val="none" w:sz="0" w:space="0" w:color="auto"/>
            <w:left w:val="none" w:sz="0" w:space="0" w:color="auto"/>
            <w:bottom w:val="none" w:sz="0" w:space="0" w:color="auto"/>
            <w:right w:val="none" w:sz="0" w:space="0" w:color="auto"/>
          </w:divBdr>
          <w:divsChild>
            <w:div w:id="1998682983">
              <w:marLeft w:val="0"/>
              <w:marRight w:val="0"/>
              <w:marTop w:val="0"/>
              <w:marBottom w:val="0"/>
              <w:divBdr>
                <w:top w:val="none" w:sz="0" w:space="0" w:color="auto"/>
                <w:left w:val="none" w:sz="0" w:space="0" w:color="auto"/>
                <w:bottom w:val="none" w:sz="0" w:space="0" w:color="auto"/>
                <w:right w:val="none" w:sz="0" w:space="0" w:color="auto"/>
              </w:divBdr>
              <w:divsChild>
                <w:div w:id="1820920325">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Vorys%20Me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DCD71-811F-4B41-87FE-9A43B5A46C18}">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C9D5E2A-EABB-440E-AC00-BF6425EE3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Vorys Memo.dotm</Template>
  <TotalTime>0</TotalTime>
  <Pages>2</Pages>
  <Words>770</Words>
  <Characters>4171</Characters>
  <Application>Microsoft Office Word</Application>
  <DocSecurity>0</DocSecurity>
  <Lines>90</Lines>
  <Paragraphs>28</Paragraphs>
  <ScaleCrop>false</ScaleCrop>
  <HeadingPairs>
    <vt:vector size="2" baseType="variant">
      <vt:variant>
        <vt:lpstr>Title</vt:lpstr>
      </vt:variant>
      <vt:variant>
        <vt:i4>1</vt:i4>
      </vt:variant>
    </vt:vector>
  </HeadingPairs>
  <TitlesOfParts>
    <vt:vector size="1" baseType="lpstr">
      <vt:lpstr>Memo to Ohio Providers Resource Association re Companionship Services</vt:lpstr>
    </vt:vector>
  </TitlesOfParts>
  <Company>Vorys, Sater, Seymour and Pease LLP</Company>
  <LinksUpToDate>false</LinksUpToDate>
  <CharactersWithSpaces>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to Ohio Providers Resource Association re Companionship Services</dc:title>
  <dc:subject>Companionship Services</dc:subject>
  <dc:creator>Michael F. O'Brien</dc:creator>
  <cp:lastModifiedBy>rpamicon</cp:lastModifiedBy>
  <cp:revision>2</cp:revision>
  <cp:lastPrinted>2013-09-24T19:26:00Z</cp:lastPrinted>
  <dcterms:created xsi:type="dcterms:W3CDTF">2013-09-24T20:17:00Z</dcterms:created>
  <dcterms:modified xsi:type="dcterms:W3CDTF">2013-09-24T20:17:00Z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 Title">
    <vt:lpwstr>Memo to Ohio Providers Resource Association re Companionship Services</vt:lpwstr>
  </property>
  <property fmtid="{D5CDD505-2E9C-101B-9397-08002B2CF9AE}" pid="3" name="Doc Author">
    <vt:lpwstr>mfobrien</vt:lpwstr>
  </property>
  <property fmtid="{D5CDD505-2E9C-101B-9397-08002B2CF9AE}" pid="4" name="Office Version">
    <vt:lpwstr>2007</vt:lpwstr>
  </property>
  <property fmtid="{D5CDD505-2E9C-101B-9397-08002B2CF9AE}" pid="5" name="TypeofTemplate">
    <vt:lpwstr>Memo</vt:lpwstr>
  </property>
  <property fmtid="{D5CDD505-2E9C-101B-9397-08002B2CF9AE}" pid="6" name="vsAssemblyLocation">
    <vt:lpwstr>VorysMemo.vsto|3474e72a-3974-442e-b9ca-3d0084c8550e|vstolocal</vt:lpwstr>
  </property>
  <property fmtid="{D5CDD505-2E9C-101B-9397-08002B2CF9AE}" pid="7" name="vsAssemblyName">
    <vt:lpwstr>4E3C66D5-58D4-491E-A7D4-64AF99AF6E8B</vt:lpwstr>
  </property>
</Properties>
</file>