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91" w:rsidRDefault="00E15A91" w:rsidP="00E15A91">
      <w:pPr>
        <w:pStyle w:val="MemoHeading"/>
      </w:pPr>
      <w:r>
        <w:t>MEMORANDU</w:t>
      </w:r>
      <w:r w:rsidRPr="003730BD">
        <w:rPr>
          <w:spacing w:val="0"/>
        </w:rPr>
        <w:t>M</w:t>
      </w:r>
    </w:p>
    <w:tbl>
      <w:tblPr>
        <w:tblW w:w="9576" w:type="dxa"/>
        <w:tblLayout w:type="fixed"/>
        <w:tblCellMar>
          <w:left w:w="0" w:type="dxa"/>
          <w:right w:w="0" w:type="dxa"/>
        </w:tblCellMar>
        <w:tblLook w:val="0000" w:firstRow="0" w:lastRow="0" w:firstColumn="0" w:lastColumn="0" w:noHBand="0" w:noVBand="0"/>
      </w:tblPr>
      <w:tblGrid>
        <w:gridCol w:w="1440"/>
        <w:gridCol w:w="8118"/>
        <w:gridCol w:w="18"/>
      </w:tblGrid>
      <w:tr w:rsidR="00E15A91" w:rsidTr="009F287D">
        <w:trPr>
          <w:gridAfter w:val="1"/>
          <w:wAfter w:w="18" w:type="dxa"/>
        </w:trPr>
        <w:tc>
          <w:tcPr>
            <w:tcW w:w="1440" w:type="dxa"/>
          </w:tcPr>
          <w:p w:rsidR="00E15A91" w:rsidRDefault="00E15A91" w:rsidP="00E15A91">
            <w:pPr>
              <w:pStyle w:val="HeadingTitle"/>
            </w:pPr>
            <w:r>
              <w:t>TO:</w:t>
            </w:r>
          </w:p>
        </w:tc>
        <w:tc>
          <w:tcPr>
            <w:tcW w:w="8118" w:type="dxa"/>
          </w:tcPr>
          <w:p w:rsidR="00E15A91" w:rsidRDefault="009F287D" w:rsidP="00E15A91">
            <w:pPr>
              <w:pStyle w:val="HeadingText"/>
            </w:pPr>
            <w:bookmarkStart w:id="0" w:name="To"/>
            <w:r>
              <w:t>Ohio Provider Resource Association</w:t>
            </w:r>
            <w:bookmarkEnd w:id="0"/>
            <w:r w:rsidR="006A70BA">
              <w:t xml:space="preserve"> Members</w:t>
            </w:r>
          </w:p>
        </w:tc>
      </w:tr>
      <w:tr w:rsidR="00E15A91" w:rsidTr="009F287D">
        <w:trPr>
          <w:gridAfter w:val="1"/>
          <w:wAfter w:w="18" w:type="dxa"/>
          <w:trHeight w:hRule="exact" w:val="240"/>
        </w:trPr>
        <w:tc>
          <w:tcPr>
            <w:tcW w:w="1440" w:type="dxa"/>
          </w:tcPr>
          <w:p w:rsidR="00E15A91" w:rsidRDefault="00E15A91" w:rsidP="00E15A91">
            <w:pPr>
              <w:pStyle w:val="HeadingTitle"/>
            </w:pPr>
          </w:p>
        </w:tc>
        <w:tc>
          <w:tcPr>
            <w:tcW w:w="8118" w:type="dxa"/>
          </w:tcPr>
          <w:p w:rsidR="00E15A91" w:rsidRDefault="00E15A91" w:rsidP="00E15A91">
            <w:pPr>
              <w:pStyle w:val="HeadingText"/>
            </w:pPr>
            <w:bookmarkStart w:id="1" w:name="holdCClist"/>
            <w:bookmarkEnd w:id="1"/>
          </w:p>
        </w:tc>
      </w:tr>
      <w:tr w:rsidR="00E15A91" w:rsidTr="009F287D">
        <w:trPr>
          <w:gridAfter w:val="1"/>
          <w:wAfter w:w="18" w:type="dxa"/>
        </w:trPr>
        <w:tc>
          <w:tcPr>
            <w:tcW w:w="1440" w:type="dxa"/>
          </w:tcPr>
          <w:p w:rsidR="00E15A91" w:rsidRDefault="00E15A91" w:rsidP="00E15A91">
            <w:pPr>
              <w:pStyle w:val="HeadingTitle"/>
            </w:pPr>
            <w:r>
              <w:t>FROM:</w:t>
            </w:r>
          </w:p>
        </w:tc>
        <w:tc>
          <w:tcPr>
            <w:tcW w:w="8118" w:type="dxa"/>
          </w:tcPr>
          <w:p w:rsidR="0088071D" w:rsidRDefault="0088071D" w:rsidP="00E15A91">
            <w:pPr>
              <w:pStyle w:val="HeadingText"/>
            </w:pPr>
            <w:r>
              <w:t>Robin P. Amicon</w:t>
            </w:r>
          </w:p>
          <w:p w:rsidR="00742600" w:rsidRDefault="00C62C31" w:rsidP="00E15A91">
            <w:pPr>
              <w:pStyle w:val="HeadingText"/>
            </w:pPr>
            <w:r>
              <w:t>Michael</w:t>
            </w:r>
            <w:r w:rsidR="00B113FF">
              <w:t xml:space="preserve"> C.</w:t>
            </w:r>
            <w:r>
              <w:t xml:space="preserve"> Griffaton</w:t>
            </w:r>
          </w:p>
        </w:tc>
      </w:tr>
      <w:tr w:rsidR="00E15A91" w:rsidTr="009F287D">
        <w:trPr>
          <w:gridAfter w:val="1"/>
          <w:wAfter w:w="18" w:type="dxa"/>
          <w:trHeight w:hRule="exact" w:val="240"/>
        </w:trPr>
        <w:tc>
          <w:tcPr>
            <w:tcW w:w="1440" w:type="dxa"/>
          </w:tcPr>
          <w:p w:rsidR="00E15A91" w:rsidRDefault="00E15A91" w:rsidP="00E15A91">
            <w:pPr>
              <w:pStyle w:val="HeadingTitle"/>
            </w:pPr>
          </w:p>
        </w:tc>
        <w:tc>
          <w:tcPr>
            <w:tcW w:w="8118" w:type="dxa"/>
          </w:tcPr>
          <w:p w:rsidR="00E15A91" w:rsidRDefault="00E15A91" w:rsidP="00E15A91">
            <w:pPr>
              <w:pStyle w:val="HeadingText"/>
            </w:pPr>
          </w:p>
        </w:tc>
      </w:tr>
      <w:tr w:rsidR="00E15A91" w:rsidTr="009F287D">
        <w:trPr>
          <w:gridAfter w:val="1"/>
          <w:wAfter w:w="18" w:type="dxa"/>
        </w:trPr>
        <w:tc>
          <w:tcPr>
            <w:tcW w:w="1440" w:type="dxa"/>
          </w:tcPr>
          <w:p w:rsidR="00E15A91" w:rsidRDefault="00E15A91" w:rsidP="00E15A91">
            <w:pPr>
              <w:pStyle w:val="HeadingTitle"/>
            </w:pPr>
            <w:r>
              <w:t>DATE:</w:t>
            </w:r>
          </w:p>
        </w:tc>
        <w:tc>
          <w:tcPr>
            <w:tcW w:w="8118" w:type="dxa"/>
          </w:tcPr>
          <w:p w:rsidR="00E15A91" w:rsidRDefault="002E0213" w:rsidP="00EF59F0">
            <w:pPr>
              <w:pStyle w:val="Date"/>
            </w:pPr>
            <w:r>
              <w:t>August 1</w:t>
            </w:r>
            <w:r w:rsidR="00EF59F0">
              <w:t>7</w:t>
            </w:r>
            <w:r>
              <w:t>, 2017</w:t>
            </w:r>
          </w:p>
        </w:tc>
      </w:tr>
      <w:tr w:rsidR="00E15A91" w:rsidTr="009F287D">
        <w:trPr>
          <w:gridAfter w:val="1"/>
          <w:wAfter w:w="18" w:type="dxa"/>
          <w:trHeight w:hRule="exact" w:val="240"/>
        </w:trPr>
        <w:tc>
          <w:tcPr>
            <w:tcW w:w="1440" w:type="dxa"/>
          </w:tcPr>
          <w:p w:rsidR="00E15A91" w:rsidRDefault="00E15A91" w:rsidP="00E15A91">
            <w:pPr>
              <w:pStyle w:val="HeadingTitle"/>
            </w:pPr>
            <w:bookmarkStart w:id="2" w:name="holdRe"/>
            <w:bookmarkEnd w:id="2"/>
          </w:p>
        </w:tc>
        <w:tc>
          <w:tcPr>
            <w:tcW w:w="8118" w:type="dxa"/>
          </w:tcPr>
          <w:p w:rsidR="00E15A91" w:rsidRDefault="00E15A91" w:rsidP="00E15A91">
            <w:pPr>
              <w:pStyle w:val="HeadingText"/>
            </w:pPr>
          </w:p>
        </w:tc>
      </w:tr>
      <w:tr w:rsidR="00E15A91" w:rsidTr="009F287D">
        <w:trPr>
          <w:gridAfter w:val="1"/>
          <w:wAfter w:w="18" w:type="dxa"/>
        </w:trPr>
        <w:tc>
          <w:tcPr>
            <w:tcW w:w="1440" w:type="dxa"/>
          </w:tcPr>
          <w:p w:rsidR="00E15A91" w:rsidRDefault="00E15A91" w:rsidP="00E15A91">
            <w:pPr>
              <w:pStyle w:val="HeadingTitle"/>
            </w:pPr>
            <w:r>
              <w:t>RE:</w:t>
            </w:r>
          </w:p>
        </w:tc>
        <w:tc>
          <w:tcPr>
            <w:tcW w:w="8118" w:type="dxa"/>
          </w:tcPr>
          <w:p w:rsidR="00E15A91" w:rsidRDefault="009F44B7" w:rsidP="009F44B7">
            <w:pPr>
              <w:pStyle w:val="ReLine"/>
            </w:pPr>
            <w:r>
              <w:t xml:space="preserve">Transporting or Storing Handguns </w:t>
            </w:r>
            <w:r w:rsidR="00316642">
              <w:t>in Private Vehicles on Employer Property</w:t>
            </w:r>
          </w:p>
        </w:tc>
      </w:tr>
      <w:tr w:rsidR="00E15A91" w:rsidTr="009F287D">
        <w:tc>
          <w:tcPr>
            <w:tcW w:w="9576" w:type="dxa"/>
            <w:gridSpan w:val="3"/>
            <w:tcBorders>
              <w:bottom w:val="single" w:sz="12" w:space="0" w:color="auto"/>
            </w:tcBorders>
          </w:tcPr>
          <w:p w:rsidR="00E15A91" w:rsidRDefault="00E15A91" w:rsidP="00E15A91">
            <w:pPr>
              <w:rPr>
                <w:rFonts w:ascii="Arial" w:hAnsi="Arial"/>
                <w:b/>
              </w:rPr>
            </w:pPr>
          </w:p>
        </w:tc>
      </w:tr>
      <w:tr w:rsidR="00E15A91" w:rsidTr="00D5045A">
        <w:trPr>
          <w:trHeight w:val="303"/>
        </w:trPr>
        <w:tc>
          <w:tcPr>
            <w:tcW w:w="9576" w:type="dxa"/>
            <w:gridSpan w:val="3"/>
          </w:tcPr>
          <w:p w:rsidR="00E15A91" w:rsidRDefault="00E15A91" w:rsidP="00E15A91">
            <w:pPr>
              <w:rPr>
                <w:rFonts w:ascii="Arial" w:hAnsi="Arial"/>
                <w:b/>
              </w:rPr>
            </w:pPr>
          </w:p>
        </w:tc>
      </w:tr>
    </w:tbl>
    <w:p w:rsidR="004028B2" w:rsidRPr="006A70BA" w:rsidRDefault="006A70BA" w:rsidP="006A70BA">
      <w:pPr>
        <w:pStyle w:val="BodyText"/>
        <w:numPr>
          <w:ilvl w:val="0"/>
          <w:numId w:val="1"/>
        </w:numPr>
        <w:rPr>
          <w:b/>
        </w:rPr>
      </w:pPr>
      <w:bookmarkStart w:id="3" w:name="Start"/>
      <w:bookmarkEnd w:id="3"/>
      <w:r w:rsidRPr="006A70BA">
        <w:rPr>
          <w:b/>
        </w:rPr>
        <w:t>Introduction</w:t>
      </w:r>
    </w:p>
    <w:p w:rsidR="002E0213" w:rsidRDefault="00692BA5" w:rsidP="001B7C5E">
      <w:pPr>
        <w:ind w:firstLine="720"/>
      </w:pPr>
      <w:r>
        <w:t xml:space="preserve">It has come to our attention that </w:t>
      </w:r>
      <w:r w:rsidR="00DC4649">
        <w:t xml:space="preserve">some </w:t>
      </w:r>
      <w:r>
        <w:t>OPRA members were unclear as to whether</w:t>
      </w:r>
      <w:r w:rsidR="00727C7E">
        <w:t xml:space="preserve">, under </w:t>
      </w:r>
      <w:r w:rsidR="002F0D22">
        <w:t xml:space="preserve">Ohio’s </w:t>
      </w:r>
      <w:r w:rsidR="00727C7E">
        <w:t xml:space="preserve">new concealed carry laws, </w:t>
      </w:r>
      <w:r w:rsidR="00C62C31">
        <w:t>they c</w:t>
      </w:r>
      <w:r w:rsidR="00223BC6">
        <w:t xml:space="preserve">ould prohibit </w:t>
      </w:r>
      <w:r w:rsidR="00172B8F">
        <w:t xml:space="preserve">or restrict </w:t>
      </w:r>
      <w:r w:rsidR="00223BC6">
        <w:t>employees from transporting or storing</w:t>
      </w:r>
      <w:r w:rsidR="00172B8F">
        <w:t xml:space="preserve"> handguns </w:t>
      </w:r>
      <w:r w:rsidR="00223BC6">
        <w:t xml:space="preserve">in their </w:t>
      </w:r>
      <w:r w:rsidR="00172B8F">
        <w:t xml:space="preserve">privately-owned </w:t>
      </w:r>
      <w:r w:rsidR="00223BC6">
        <w:t>vehicle</w:t>
      </w:r>
      <w:r w:rsidR="00172B8F">
        <w:t xml:space="preserve">s if </w:t>
      </w:r>
      <w:r w:rsidR="002F0D22">
        <w:t xml:space="preserve">those privately-owned </w:t>
      </w:r>
      <w:r w:rsidR="00727C7E">
        <w:t>vehicles</w:t>
      </w:r>
      <w:r w:rsidR="00172B8F">
        <w:t xml:space="preserve"> are used for company purposes, such as transporting individuals or other work-related tasks.  </w:t>
      </w:r>
      <w:r w:rsidR="00C62C31">
        <w:t>U</w:t>
      </w:r>
      <w:r w:rsidR="00C62C31" w:rsidRPr="00C62C31">
        <w:t xml:space="preserve">nfortunately, </w:t>
      </w:r>
      <w:r w:rsidR="00727C7E">
        <w:t xml:space="preserve">as explained in more detail below, </w:t>
      </w:r>
      <w:r w:rsidR="00C62C31" w:rsidRPr="00C62C31">
        <w:t xml:space="preserve">the </w:t>
      </w:r>
      <w:r w:rsidR="00727C7E">
        <w:t xml:space="preserve">new laws passed last year regulating the licensing and carrying of </w:t>
      </w:r>
      <w:r w:rsidR="002F0D22">
        <w:t xml:space="preserve">concealed </w:t>
      </w:r>
      <w:r w:rsidR="00727C7E">
        <w:t xml:space="preserve">handguns </w:t>
      </w:r>
      <w:r w:rsidR="00C62C31" w:rsidRPr="00C62C31">
        <w:t xml:space="preserve">do not address the use of “company vehicles” </w:t>
      </w:r>
      <w:r w:rsidR="002B43D7" w:rsidRPr="002B43D7">
        <w:t>–</w:t>
      </w:r>
      <w:r w:rsidR="00727C7E">
        <w:t xml:space="preserve"> </w:t>
      </w:r>
      <w:r w:rsidR="00C62C31" w:rsidRPr="00C62C31">
        <w:t xml:space="preserve">only whether the vehicle is privately owned, regardless of how that vehicle is used or if the </w:t>
      </w:r>
      <w:r w:rsidR="00A050D1">
        <w:t>employee</w:t>
      </w:r>
      <w:r w:rsidR="00C62C31" w:rsidRPr="00C62C31">
        <w:t xml:space="preserve"> is being </w:t>
      </w:r>
      <w:r w:rsidR="002F0D22">
        <w:t xml:space="preserve">reimbursed </w:t>
      </w:r>
      <w:r w:rsidR="00C62C31" w:rsidRPr="00C62C31">
        <w:t>for mileage</w:t>
      </w:r>
      <w:r w:rsidR="00727C7E">
        <w:t xml:space="preserve"> </w:t>
      </w:r>
      <w:r w:rsidR="00965AF9">
        <w:t>for</w:t>
      </w:r>
      <w:r w:rsidR="00727C7E">
        <w:t xml:space="preserve"> work-related duties</w:t>
      </w:r>
      <w:r w:rsidR="00C62C31" w:rsidRPr="00C62C31">
        <w:t xml:space="preserve">.  </w:t>
      </w:r>
    </w:p>
    <w:p w:rsidR="00C62C31" w:rsidRDefault="00C62C31" w:rsidP="001B7C5E">
      <w:pPr>
        <w:ind w:firstLine="720"/>
      </w:pPr>
    </w:p>
    <w:p w:rsidR="001603C8" w:rsidRPr="00C62C31" w:rsidRDefault="007F56B7" w:rsidP="00C62C31">
      <w:pPr>
        <w:pStyle w:val="ListParagraph"/>
        <w:numPr>
          <w:ilvl w:val="0"/>
          <w:numId w:val="1"/>
        </w:numPr>
      </w:pPr>
      <w:r>
        <w:rPr>
          <w:b/>
        </w:rPr>
        <w:t>Legal Requirements</w:t>
      </w:r>
    </w:p>
    <w:p w:rsidR="00C62C31" w:rsidRDefault="00C62C31" w:rsidP="00B113FF">
      <w:pPr>
        <w:pStyle w:val="ListParagraph"/>
        <w:ind w:left="2160"/>
      </w:pPr>
    </w:p>
    <w:p w:rsidR="00B113FF" w:rsidRDefault="00B113FF" w:rsidP="00B113FF">
      <w:pPr>
        <w:ind w:firstLine="720"/>
      </w:pPr>
      <w:r>
        <w:t>As you may be aware,</w:t>
      </w:r>
      <w:r w:rsidR="00727C7E">
        <w:t xml:space="preserve"> the law regarding the licensing and carrying of concealed handguns </w:t>
      </w:r>
      <w:r w:rsidR="002E2DA6">
        <w:t>changed earlier this</w:t>
      </w:r>
      <w:r w:rsidR="00727C7E">
        <w:t xml:space="preserve"> year</w:t>
      </w:r>
      <w:r>
        <w:t>.</w:t>
      </w:r>
      <w:r w:rsidR="00727C7E">
        <w:rPr>
          <w:rStyle w:val="FootnoteReference"/>
        </w:rPr>
        <w:footnoteReference w:id="1"/>
      </w:r>
      <w:r>
        <w:t xml:space="preserve">  </w:t>
      </w:r>
      <w:r w:rsidR="00727C7E">
        <w:t xml:space="preserve">Specifically, Ohio law was revised to </w:t>
      </w:r>
      <w:r>
        <w:t xml:space="preserve">allow gun owners to keep </w:t>
      </w:r>
      <w:r w:rsidR="00727C7E">
        <w:t>hand</w:t>
      </w:r>
      <w:r>
        <w:t>guns in their cars while on their employer’s property.</w:t>
      </w:r>
      <w:r w:rsidR="00727C7E">
        <w:rPr>
          <w:rStyle w:val="FootnoteReference"/>
        </w:rPr>
        <w:footnoteReference w:id="2"/>
      </w:r>
      <w:r>
        <w:t xml:space="preserve">  </w:t>
      </w:r>
      <w:r w:rsidR="006043CB">
        <w:t>The law states that</w:t>
      </w:r>
      <w:r w:rsidR="002E2DA6">
        <w:t xml:space="preserve"> a</w:t>
      </w:r>
      <w:r>
        <w:t xml:space="preserve"> business entity, property owner, or public or private employer </w:t>
      </w:r>
      <w:r w:rsidR="00727C7E">
        <w:t xml:space="preserve">is prohibited </w:t>
      </w:r>
      <w:r>
        <w:t>from establishing, maintaining, or enforcing a policy that prohibits or has the effect of prohibiting a person with</w:t>
      </w:r>
      <w:r w:rsidR="00845956">
        <w:t xml:space="preserve"> a</w:t>
      </w:r>
      <w:r>
        <w:t xml:space="preserve"> concealed handgun license from transporting or storing a firearm or ammunition when: (1) each firearm and all of the ammunition remains inside the person’s privately owned motor vehicle while the person is physically present inside the motor vehicle or is locked within that vehicle’s trunk, glove box, or other enclosed compartment or container; and (2) the vehicle is in a location where it is otherwise permitted to be.</w:t>
      </w:r>
      <w:r w:rsidR="00727C7E">
        <w:rPr>
          <w:rStyle w:val="FootnoteReference"/>
        </w:rPr>
        <w:footnoteReference w:id="3"/>
      </w:r>
      <w:r>
        <w:t xml:space="preserve">  </w:t>
      </w:r>
    </w:p>
    <w:p w:rsidR="002E5BEA" w:rsidRDefault="002E5BEA" w:rsidP="00B113FF">
      <w:pPr>
        <w:ind w:firstLine="720"/>
      </w:pPr>
    </w:p>
    <w:p w:rsidR="002E2DA6" w:rsidRDefault="002E2DA6" w:rsidP="001603C8">
      <w:pPr>
        <w:ind w:firstLine="720"/>
      </w:pPr>
      <w:r w:rsidRPr="002E2DA6">
        <w:t>The law does not carve out any exceptions for utilizing a private</w:t>
      </w:r>
      <w:r w:rsidR="002F0D22">
        <w:t>ly-owned</w:t>
      </w:r>
      <w:r w:rsidRPr="002E2DA6">
        <w:t xml:space="preserve"> vehicle for company purposes.  Therefore, under the current law, this means that an employer must permit </w:t>
      </w:r>
      <w:r w:rsidRPr="002E2DA6">
        <w:lastRenderedPageBreak/>
        <w:t>employees with a concealed handgun license to keep their handguns in their cars when parked in the employer’s parking lot or parking garage, regardless of how the vehicle is being used.</w:t>
      </w:r>
    </w:p>
    <w:p w:rsidR="002E2DA6" w:rsidRDefault="002E2DA6" w:rsidP="001603C8">
      <w:pPr>
        <w:ind w:firstLine="720"/>
      </w:pPr>
    </w:p>
    <w:p w:rsidR="00B113FF" w:rsidRDefault="002E5BEA" w:rsidP="001603C8">
      <w:pPr>
        <w:ind w:firstLine="720"/>
      </w:pPr>
      <w:r>
        <w:t>The law does provide</w:t>
      </w:r>
      <w:r w:rsidR="00B113FF">
        <w:t xml:space="preserve"> business entit</w:t>
      </w:r>
      <w:r>
        <w:t>ies</w:t>
      </w:r>
      <w:r w:rsidR="00B113FF">
        <w:t>, property owner</w:t>
      </w:r>
      <w:r>
        <w:t xml:space="preserve">s, and </w:t>
      </w:r>
      <w:r w:rsidR="00B113FF">
        <w:t xml:space="preserve">public </w:t>
      </w:r>
      <w:r>
        <w:t>and</w:t>
      </w:r>
      <w:r w:rsidR="0006263A">
        <w:t xml:space="preserve"> private employers </w:t>
      </w:r>
      <w:r w:rsidR="00B113FF">
        <w:t>with immunity in civil actions for damages, injuries, or death resulting from or arising out of another person</w:t>
      </w:r>
      <w:r w:rsidR="005D3286">
        <w:t>’</w:t>
      </w:r>
      <w:r w:rsidR="00B113FF">
        <w:t>s actions involving a firearm or ammunition transported or stored, including the theft of a firearm from an employee</w:t>
      </w:r>
      <w:r w:rsidR="005D3286">
        <w:t>’s or invitee’</w:t>
      </w:r>
      <w:r w:rsidR="00B113FF">
        <w:t>s automobile</w:t>
      </w:r>
      <w:r w:rsidR="002E2DA6">
        <w:t xml:space="preserve">, </w:t>
      </w:r>
      <w:r w:rsidR="00B113FF">
        <w:t>unless the business entity, property owner, or public or private employer intentionally solicit</w:t>
      </w:r>
      <w:r w:rsidR="005D3286">
        <w:t>ed or procured the other person’</w:t>
      </w:r>
      <w:r w:rsidR="00B113FF">
        <w:t>s injurious actions.</w:t>
      </w:r>
      <w:r>
        <w:t xml:space="preserve"> </w:t>
      </w:r>
      <w:r>
        <w:rPr>
          <w:rStyle w:val="FootnoteReference"/>
        </w:rPr>
        <w:footnoteReference w:id="4"/>
      </w:r>
    </w:p>
    <w:p w:rsidR="002E5BEA" w:rsidRDefault="002E5BEA" w:rsidP="009C4912">
      <w:pPr>
        <w:ind w:firstLine="720"/>
      </w:pPr>
    </w:p>
    <w:p w:rsidR="00666B3B" w:rsidRDefault="002E5BEA" w:rsidP="00357C25">
      <w:pPr>
        <w:ind w:firstLine="720"/>
      </w:pPr>
      <w:r>
        <w:t xml:space="preserve">Employees </w:t>
      </w:r>
      <w:r w:rsidR="00EF59F0">
        <w:t>will be able to bring</w:t>
      </w:r>
      <w:r>
        <w:t xml:space="preserve"> </w:t>
      </w:r>
      <w:r w:rsidR="009C5F65">
        <w:t xml:space="preserve">a cause of action for injunctive relief </w:t>
      </w:r>
      <w:r>
        <w:t xml:space="preserve">against </w:t>
      </w:r>
      <w:r w:rsidR="00D55868">
        <w:t>their</w:t>
      </w:r>
      <w:r>
        <w:t xml:space="preserve"> employer</w:t>
      </w:r>
      <w:r w:rsidR="00D55868">
        <w:t>s</w:t>
      </w:r>
      <w:r>
        <w:t xml:space="preserve"> for an alleged violation of this law.  New language was included in the recently signed </w:t>
      </w:r>
      <w:r w:rsidR="009C5F65" w:rsidRPr="009C5F65">
        <w:t xml:space="preserve">State of Ohio Operating Budget </w:t>
      </w:r>
      <w:r w:rsidR="00666B3B">
        <w:t xml:space="preserve">that </w:t>
      </w:r>
      <w:r>
        <w:t xml:space="preserve">specifically </w:t>
      </w:r>
      <w:r w:rsidR="009C4912">
        <w:t>allows</w:t>
      </w:r>
      <w:r w:rsidR="009C5F65" w:rsidRPr="009C5F65">
        <w:t xml:space="preserve"> </w:t>
      </w:r>
      <w:r w:rsidR="009C4912">
        <w:t>an individual to seek injunctive relief against</w:t>
      </w:r>
      <w:r w:rsidR="009C5F65" w:rsidRPr="009C5F65">
        <w:t xml:space="preserve"> a business entity, property owner, or public or private employer who prohibits or effectively prohibits the individual’s ability to have a concealed handgun or firearm in his or her motor vehicle where a motor vehicle is normally permitted to be.</w:t>
      </w:r>
      <w:r w:rsidR="00B204EA">
        <w:rPr>
          <w:rStyle w:val="FootnoteReference"/>
        </w:rPr>
        <w:footnoteReference w:id="5"/>
      </w:r>
      <w:r w:rsidR="009C5F65" w:rsidRPr="009C5F65">
        <w:t xml:space="preserve"> </w:t>
      </w:r>
      <w:r w:rsidR="002F0D22">
        <w:t xml:space="preserve"> </w:t>
      </w:r>
      <w:r w:rsidR="00F642C5">
        <w:t xml:space="preserve">Since this law </w:t>
      </w:r>
      <w:r w:rsidR="00EF59F0">
        <w:t>is</w:t>
      </w:r>
      <w:r w:rsidR="00F642C5">
        <w:t xml:space="preserve"> new</w:t>
      </w:r>
      <w:bookmarkStart w:id="4" w:name="_GoBack"/>
      <w:bookmarkEnd w:id="4"/>
      <w:r w:rsidR="00F642C5">
        <w:t>, t</w:t>
      </w:r>
      <w:r w:rsidR="002F0D22">
        <w:t xml:space="preserve">here are no cases interpreting this provision. </w:t>
      </w:r>
      <w:r w:rsidR="00F642C5">
        <w:t xml:space="preserve"> </w:t>
      </w:r>
      <w:r w:rsidR="002F0D22">
        <w:t xml:space="preserve">However, prohibiting an employee from having a handgun in their vehicle – even when used for company purposes – would likely provide a basis for injunctive relief.  Basically, this means that the employer would be unable to enforce its policy. </w:t>
      </w:r>
    </w:p>
    <w:p w:rsidR="00666B3B" w:rsidRDefault="00666B3B" w:rsidP="00357C25">
      <w:pPr>
        <w:ind w:firstLine="720"/>
      </w:pPr>
    </w:p>
    <w:p w:rsidR="00485CF2" w:rsidRPr="00666B3B" w:rsidRDefault="00666B3B" w:rsidP="00666B3B">
      <w:pPr>
        <w:ind w:firstLine="720"/>
      </w:pPr>
      <w:r>
        <w:t>We understand that these provisions can create an unclear and possibly worrisome legal environment for employers</w:t>
      </w:r>
      <w:r w:rsidR="00D55868">
        <w:t xml:space="preserve"> and business owners</w:t>
      </w:r>
      <w:r>
        <w:t xml:space="preserve">.  </w:t>
      </w:r>
      <w:r w:rsidR="007B222A">
        <w:t xml:space="preserve">If you have not done so already, you should review your employment policies and practices to ensure they comport with the law’s requirements.  </w:t>
      </w:r>
      <w:r w:rsidR="00845956">
        <w:rPr>
          <w:szCs w:val="24"/>
        </w:rPr>
        <w:t>Should</w:t>
      </w:r>
      <w:r w:rsidR="00485CF2" w:rsidRPr="00166A2A">
        <w:rPr>
          <w:szCs w:val="24"/>
        </w:rPr>
        <w:t xml:space="preserve"> you have any questions or need additional information or clarification regarding these</w:t>
      </w:r>
      <w:r w:rsidR="00845956">
        <w:rPr>
          <w:szCs w:val="24"/>
        </w:rPr>
        <w:t xml:space="preserve"> requirements</w:t>
      </w:r>
      <w:r w:rsidR="00485CF2" w:rsidRPr="00166A2A">
        <w:rPr>
          <w:szCs w:val="24"/>
        </w:rPr>
        <w:t xml:space="preserve">, please feel free to contact </w:t>
      </w:r>
      <w:r>
        <w:rPr>
          <w:szCs w:val="24"/>
        </w:rPr>
        <w:t>Michael Griffaton at 614.464.8374</w:t>
      </w:r>
      <w:r w:rsidR="00485CF2" w:rsidRPr="00166A2A">
        <w:rPr>
          <w:szCs w:val="24"/>
        </w:rPr>
        <w:t xml:space="preserve"> or Robin Amicon at 614.4</w:t>
      </w:r>
      <w:r w:rsidR="00485CF2">
        <w:rPr>
          <w:szCs w:val="24"/>
        </w:rPr>
        <w:t xml:space="preserve">64.5466 at the Vorys law firm.  As </w:t>
      </w:r>
      <w:r w:rsidR="00485CF2" w:rsidRPr="00485CF2">
        <w:rPr>
          <w:szCs w:val="24"/>
        </w:rPr>
        <w:t xml:space="preserve">a reminder, OPRA members are entitled to two (2) free hours of legal services per year with the Vorys law firm as part of their annual member benefit.  </w:t>
      </w:r>
      <w:bookmarkStart w:id="5" w:name="vsLastFooter"/>
    </w:p>
    <w:bookmarkEnd w:id="5"/>
    <w:p w:rsidR="00485CF2" w:rsidRDefault="00485CF2" w:rsidP="00485CF2">
      <w:pPr>
        <w:ind w:firstLine="720"/>
        <w:rPr>
          <w:szCs w:val="24"/>
        </w:rPr>
      </w:pPr>
    </w:p>
    <w:p w:rsidR="00485CF2" w:rsidRDefault="00485CF2" w:rsidP="00485CF2">
      <w:pPr>
        <w:ind w:firstLine="720"/>
        <w:rPr>
          <w:szCs w:val="24"/>
        </w:rPr>
      </w:pPr>
    </w:p>
    <w:p w:rsidR="00485CF2" w:rsidRDefault="00485CF2" w:rsidP="00485CF2">
      <w:pPr>
        <w:ind w:firstLine="720"/>
        <w:rPr>
          <w:szCs w:val="24"/>
        </w:rPr>
      </w:pPr>
    </w:p>
    <w:p w:rsidR="00485CF2" w:rsidRPr="00485CF2" w:rsidRDefault="00485CF2" w:rsidP="00485CF2">
      <w:pPr>
        <w:ind w:firstLine="720"/>
        <w:rPr>
          <w:i/>
          <w:szCs w:val="24"/>
        </w:rPr>
      </w:pPr>
      <w:r w:rsidRPr="00485CF2">
        <w:rPr>
          <w:i/>
          <w:szCs w:val="24"/>
        </w:rPr>
        <w:t xml:space="preserve">Disclaimer:  This memorandum is for general information purposes and should not be regarded as legal advice.  As always, please let us know if you want more information or have questions about how these </w:t>
      </w:r>
      <w:r w:rsidR="00845956">
        <w:rPr>
          <w:i/>
          <w:szCs w:val="24"/>
        </w:rPr>
        <w:t>requirements</w:t>
      </w:r>
      <w:r w:rsidRPr="00485CF2">
        <w:rPr>
          <w:i/>
          <w:szCs w:val="24"/>
        </w:rPr>
        <w:t xml:space="preserve"> apply to your situation.</w:t>
      </w:r>
    </w:p>
    <w:sectPr w:rsidR="00485CF2" w:rsidRPr="00485CF2" w:rsidSect="006B27CC">
      <w:headerReference w:type="default" r:id="rId10"/>
      <w:headerReference w:type="first" r:id="rId11"/>
      <w:pgSz w:w="12240" w:h="15840" w:code="1"/>
      <w:pgMar w:top="1440" w:right="1440" w:bottom="1440" w:left="1440" w:header="72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06" w:rsidRDefault="00354006">
      <w:r>
        <w:separator/>
      </w:r>
    </w:p>
  </w:endnote>
  <w:endnote w:type="continuationSeparator" w:id="0">
    <w:p w:rsidR="00354006" w:rsidRDefault="0035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orys Logo">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06" w:rsidRDefault="00354006">
      <w:r>
        <w:separator/>
      </w:r>
    </w:p>
  </w:footnote>
  <w:footnote w:type="continuationSeparator" w:id="0">
    <w:p w:rsidR="00354006" w:rsidRDefault="00354006">
      <w:r>
        <w:continuationSeparator/>
      </w:r>
    </w:p>
  </w:footnote>
  <w:footnote w:id="1">
    <w:p w:rsidR="00727C7E" w:rsidRDefault="00727C7E">
      <w:pPr>
        <w:pStyle w:val="FootnoteText"/>
      </w:pPr>
      <w:r>
        <w:rPr>
          <w:rStyle w:val="FootnoteReference"/>
        </w:rPr>
        <w:footnoteRef/>
      </w:r>
      <w:r>
        <w:t xml:space="preserve"> S.B. 199 (131</w:t>
      </w:r>
      <w:r w:rsidRPr="00727C7E">
        <w:rPr>
          <w:vertAlign w:val="superscript"/>
        </w:rPr>
        <w:t>st</w:t>
      </w:r>
      <w:r>
        <w:t xml:space="preserve"> G.A.), effective March 21, 2017.  </w:t>
      </w:r>
    </w:p>
  </w:footnote>
  <w:footnote w:id="2">
    <w:p w:rsidR="00727C7E" w:rsidRDefault="00727C7E">
      <w:pPr>
        <w:pStyle w:val="FootnoteText"/>
      </w:pPr>
      <w:r>
        <w:rPr>
          <w:rStyle w:val="FootnoteReference"/>
        </w:rPr>
        <w:footnoteRef/>
      </w:r>
      <w:r>
        <w:t xml:space="preserve"> Ohio Rev. Code § 2323.1210.  </w:t>
      </w:r>
    </w:p>
  </w:footnote>
  <w:footnote w:id="3">
    <w:p w:rsidR="00727C7E" w:rsidRDefault="00727C7E">
      <w:pPr>
        <w:pStyle w:val="FootnoteText"/>
      </w:pPr>
      <w:r>
        <w:rPr>
          <w:rStyle w:val="FootnoteReference"/>
        </w:rPr>
        <w:footnoteRef/>
      </w:r>
      <w:r>
        <w:t xml:space="preserve"> Ohio Rev. Code </w:t>
      </w:r>
      <w:r w:rsidRPr="00727C7E">
        <w:t>§ 2323.1210</w:t>
      </w:r>
      <w:r>
        <w:t>(</w:t>
      </w:r>
      <w:r w:rsidR="002E5BEA">
        <w:t>A</w:t>
      </w:r>
      <w:r>
        <w:t xml:space="preserve">). </w:t>
      </w:r>
    </w:p>
  </w:footnote>
  <w:footnote w:id="4">
    <w:p w:rsidR="002E5BEA" w:rsidRDefault="002E5BEA">
      <w:pPr>
        <w:pStyle w:val="FootnoteText"/>
      </w:pPr>
      <w:r>
        <w:rPr>
          <w:rStyle w:val="FootnoteReference"/>
        </w:rPr>
        <w:footnoteRef/>
      </w:r>
      <w:r>
        <w:t xml:space="preserve"> </w:t>
      </w:r>
      <w:r w:rsidRPr="002E5BEA">
        <w:t>Ohio Rev. Code § 2323.1210(B).</w:t>
      </w:r>
    </w:p>
  </w:footnote>
  <w:footnote w:id="5">
    <w:p w:rsidR="00B204EA" w:rsidRDefault="00B204EA">
      <w:pPr>
        <w:pStyle w:val="FootnoteText"/>
      </w:pPr>
      <w:r>
        <w:rPr>
          <w:rStyle w:val="FootnoteReference"/>
        </w:rPr>
        <w:footnoteRef/>
      </w:r>
      <w:r>
        <w:t xml:space="preserve"> Ohio Rev. Code § 2923.1210(</w:t>
      </w:r>
      <w:r w:rsidR="00223BC6">
        <w:t>B</w:t>
      </w:r>
      <w:r>
        <w:t>), as amended by Am. Sub. H.B. 49 (132</w:t>
      </w:r>
      <w:r w:rsidR="00316642" w:rsidRPr="00316642">
        <w:rPr>
          <w:vertAlign w:val="superscript"/>
        </w:rPr>
        <w:t>nd</w:t>
      </w:r>
      <w:r w:rsidR="00316642">
        <w:t xml:space="preserve"> G.A.</w:t>
      </w:r>
      <w:r>
        <w:t xml:space="preserve">), </w:t>
      </w:r>
      <w:r w:rsidR="002E5BEA">
        <w:t>June 29, 2017</w:t>
      </w:r>
      <w:r w:rsidR="00EF59F0">
        <w:t>.  This specific provision has a 90-day effective date of October 29, 2017</w:t>
      </w:r>
      <w:r w:rsidR="002E5BEA">
        <w:t xml:space="preserve">.  </w:t>
      </w:r>
    </w:p>
    <w:p w:rsidR="00B204EA" w:rsidRDefault="00B204E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6A" w:rsidRDefault="00C36A6A" w:rsidP="00C36A6A">
    <w:pPr>
      <w:pStyle w:val="Header"/>
      <w:rPr>
        <w:rStyle w:val="HeaderFooter"/>
        <w:rFonts w:ascii="Vorys Logo" w:hAnsi="Vorys Logo"/>
        <w:sz w:val="44"/>
        <w:szCs w:val="44"/>
      </w:rPr>
    </w:pPr>
    <w:r>
      <w:rPr>
        <w:rStyle w:val="HeaderFooter"/>
        <w:rFonts w:ascii="Vorys Logo" w:hAnsi="Vorys Logo"/>
        <w:sz w:val="44"/>
        <w:szCs w:val="44"/>
      </w:rPr>
      <w:t>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tblGrid>
    <w:tr w:rsidR="00C36A6A" w:rsidTr="00D07F6E">
      <w:trPr>
        <w:trHeight w:val="287"/>
      </w:trPr>
      <w:tc>
        <w:tcPr>
          <w:tcW w:w="2088" w:type="dxa"/>
        </w:tcPr>
        <w:p w:rsidR="00C36A6A" w:rsidRPr="009F287D" w:rsidRDefault="009F287D" w:rsidP="00D07F6E">
          <w:pPr>
            <w:pStyle w:val="Header"/>
            <w:jc w:val="right"/>
            <w:rPr>
              <w:rStyle w:val="HeaderFooter"/>
            </w:rPr>
          </w:pPr>
          <w:r>
            <w:rPr>
              <w:rStyle w:val="HeaderFooter"/>
            </w:rPr>
            <w:t>Legal Counsel</w:t>
          </w:r>
        </w:p>
      </w:tc>
    </w:tr>
    <w:tr w:rsidR="00C36A6A" w:rsidTr="00D07F6E">
      <w:trPr>
        <w:trHeight w:val="287"/>
      </w:trPr>
      <w:tc>
        <w:tcPr>
          <w:tcW w:w="2088" w:type="dxa"/>
        </w:tcPr>
        <w:p w:rsidR="00C36A6A" w:rsidRDefault="00C36A6A" w:rsidP="00D07F6E">
          <w:pPr>
            <w:pStyle w:val="Header"/>
            <w:jc w:val="right"/>
            <w:rPr>
              <w:rFonts w:ascii="Century Schoolbook" w:hAnsi="Century Schoolbook"/>
              <w:b/>
              <w:sz w:val="16"/>
              <w:szCs w:val="16"/>
            </w:rPr>
          </w:pPr>
        </w:p>
      </w:tc>
    </w:tr>
  </w:tbl>
  <w:bookmarkStart w:id="6" w:name="SecondHeaderPlaceholder"/>
  <w:bookmarkEnd w:id="6"/>
  <w:p w:rsidR="00C36A6A" w:rsidRDefault="00D52AE2">
    <w:pPr>
      <w:pStyle w:val="Header"/>
    </w:pPr>
    <w:r>
      <w:fldChar w:fldCharType="begin"/>
    </w:r>
    <w:r w:rsidR="00C62BA5">
      <w:instrText xml:space="preserve"> REF  To </w:instrText>
    </w:r>
    <w:r>
      <w:fldChar w:fldCharType="separate"/>
    </w:r>
    <w:r w:rsidR="00DC4649">
      <w:t>Ohio Provider Resource Association</w:t>
    </w:r>
    <w:r>
      <w:fldChar w:fldCharType="end"/>
    </w:r>
  </w:p>
  <w:p w:rsidR="009948A5" w:rsidRDefault="00D52AE2">
    <w:pPr>
      <w:pStyle w:val="Header"/>
    </w:pPr>
    <w:r>
      <w:fldChar w:fldCharType="begin"/>
    </w:r>
    <w:r w:rsidR="009948A5">
      <w:instrText xml:space="preserve"> STYLEREF Date \* MERGEFORMAT </w:instrText>
    </w:r>
    <w:r>
      <w:fldChar w:fldCharType="separate"/>
    </w:r>
    <w:r w:rsidR="006043CB">
      <w:rPr>
        <w:noProof/>
      </w:rPr>
      <w:t>August 17, 2017</w:t>
    </w:r>
    <w:r>
      <w:fldChar w:fldCharType="end"/>
    </w:r>
  </w:p>
  <w:p w:rsidR="009948A5" w:rsidRDefault="009948A5">
    <w:pPr>
      <w:pStyle w:val="Header"/>
      <w:rPr>
        <w:rStyle w:val="PageNumber"/>
      </w:rPr>
    </w:pPr>
    <w:r>
      <w:t xml:space="preserve">Page </w:t>
    </w:r>
    <w:r w:rsidR="00D52AE2">
      <w:rPr>
        <w:rStyle w:val="PageNumber"/>
      </w:rPr>
      <w:fldChar w:fldCharType="begin"/>
    </w:r>
    <w:r>
      <w:rPr>
        <w:rStyle w:val="PageNumber"/>
      </w:rPr>
      <w:instrText xml:space="preserve"> PAGE </w:instrText>
    </w:r>
    <w:r w:rsidR="00D52AE2">
      <w:rPr>
        <w:rStyle w:val="PageNumber"/>
      </w:rPr>
      <w:fldChar w:fldCharType="separate"/>
    </w:r>
    <w:r w:rsidR="006043CB">
      <w:rPr>
        <w:rStyle w:val="PageNumber"/>
        <w:noProof/>
      </w:rPr>
      <w:t>2</w:t>
    </w:r>
    <w:r w:rsidR="00D52AE2">
      <w:rPr>
        <w:rStyle w:val="PageNumber"/>
      </w:rPr>
      <w:fldChar w:fldCharType="end"/>
    </w:r>
  </w:p>
  <w:p w:rsidR="009948A5" w:rsidRDefault="009948A5">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699" w:tblpY="1"/>
      <w:tblOverlap w:val="never"/>
      <w:tblW w:w="10642" w:type="dxa"/>
      <w:tblLayout w:type="fixed"/>
      <w:tblLook w:val="0000" w:firstRow="0" w:lastRow="0" w:firstColumn="0" w:lastColumn="0" w:noHBand="0" w:noVBand="0"/>
    </w:tblPr>
    <w:tblGrid>
      <w:gridCol w:w="5321"/>
      <w:gridCol w:w="5321"/>
    </w:tblGrid>
    <w:tr w:rsidR="009F287D" w:rsidTr="009F287D">
      <w:trPr>
        <w:trHeight w:val="1800"/>
      </w:trPr>
      <w:tc>
        <w:tcPr>
          <w:tcW w:w="5321" w:type="dxa"/>
        </w:tcPr>
        <w:p w:rsidR="009F287D" w:rsidRPr="009F287D" w:rsidRDefault="009F287D" w:rsidP="009F287D">
          <w:pPr>
            <w:pStyle w:val="Header"/>
            <w:rPr>
              <w:rStyle w:val="HeaderFooter"/>
              <w:rFonts w:ascii="Vorys Logo" w:hAnsi="Vorys Logo"/>
              <w:color w:val="17365D" w:themeColor="text2" w:themeShade="BF"/>
              <w:sz w:val="72"/>
            </w:rPr>
          </w:pPr>
          <w:r w:rsidRPr="009F287D">
            <w:rPr>
              <w:rStyle w:val="HeaderFooter"/>
              <w:rFonts w:ascii="Vorys Logo" w:hAnsi="Vorys Logo"/>
              <w:color w:val="17365D" w:themeColor="text2" w:themeShade="BF"/>
              <w:sz w:val="72"/>
            </w:rPr>
            <w:t>v</w:t>
          </w:r>
        </w:p>
        <w:p w:rsidR="009F287D" w:rsidRPr="009F287D" w:rsidRDefault="009F287D" w:rsidP="009F287D">
          <w:pPr>
            <w:pStyle w:val="Header"/>
            <w:rPr>
              <w:rStyle w:val="HeaderFooter"/>
              <w:color w:val="17365D" w:themeColor="text2" w:themeShade="BF"/>
              <w:sz w:val="19"/>
            </w:rPr>
          </w:pPr>
          <w:r w:rsidRPr="009F287D">
            <w:rPr>
              <w:rStyle w:val="HeaderFooter"/>
              <w:color w:val="17365D" w:themeColor="text2" w:themeShade="BF"/>
              <w:sz w:val="19"/>
            </w:rPr>
            <w:t>Vorys, Sater, Seymour and Pease LLP</w:t>
          </w:r>
        </w:p>
        <w:p w:rsidR="009F287D" w:rsidRDefault="009F287D" w:rsidP="009F287D">
          <w:pPr>
            <w:pStyle w:val="Header"/>
            <w:rPr>
              <w:rFonts w:ascii="Century Schoolbook" w:hAnsi="Century Schoolbook"/>
            </w:rPr>
          </w:pPr>
          <w:r w:rsidRPr="009F287D">
            <w:rPr>
              <w:rStyle w:val="HeaderFooter"/>
              <w:color w:val="17365D" w:themeColor="text2" w:themeShade="BF"/>
            </w:rPr>
            <w:t>Legal Counsel</w:t>
          </w:r>
        </w:p>
      </w:tc>
      <w:tc>
        <w:tcPr>
          <w:tcW w:w="5321" w:type="dxa"/>
        </w:tcPr>
        <w:p w:rsidR="009F287D" w:rsidRPr="009F287D" w:rsidRDefault="009F287D" w:rsidP="009F287D">
          <w:pPr>
            <w:pStyle w:val="Header"/>
            <w:jc w:val="right"/>
            <w:rPr>
              <w:rStyle w:val="HeaderFooterOfficeInfo"/>
              <w:color w:val="17365D" w:themeColor="text2" w:themeShade="BF"/>
            </w:rPr>
          </w:pPr>
        </w:p>
      </w:tc>
    </w:tr>
  </w:tbl>
  <w:p w:rsidR="009948A5" w:rsidRPr="00C67A33" w:rsidRDefault="009948A5" w:rsidP="006C5653">
    <w:pPr>
      <w:pStyle w:val="Header"/>
      <w:rPr>
        <w:rFonts w:ascii="Century Schoolbook" w:hAnsi="Century Schoolboo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FF5"/>
    <w:multiLevelType w:val="hybridMultilevel"/>
    <w:tmpl w:val="600ACE88"/>
    <w:lvl w:ilvl="0" w:tplc="D660A8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09259D"/>
    <w:multiLevelType w:val="hybridMultilevel"/>
    <w:tmpl w:val="9DB6DCD0"/>
    <w:lvl w:ilvl="0" w:tplc="9EEAE0D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4FA3EF5"/>
    <w:multiLevelType w:val="hybridMultilevel"/>
    <w:tmpl w:val="E9924602"/>
    <w:lvl w:ilvl="0" w:tplc="D35CF5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27D7450"/>
    <w:multiLevelType w:val="hybridMultilevel"/>
    <w:tmpl w:val="9A16B4D4"/>
    <w:lvl w:ilvl="0" w:tplc="D0E0DA64">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C1F3F0E"/>
    <w:multiLevelType w:val="hybridMultilevel"/>
    <w:tmpl w:val="98321B64"/>
    <w:lvl w:ilvl="0" w:tplc="02061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F287D"/>
    <w:rsid w:val="0001288A"/>
    <w:rsid w:val="000212BE"/>
    <w:rsid w:val="00023954"/>
    <w:rsid w:val="00027C34"/>
    <w:rsid w:val="00054AE6"/>
    <w:rsid w:val="00054E0C"/>
    <w:rsid w:val="0006263A"/>
    <w:rsid w:val="00067CDD"/>
    <w:rsid w:val="00076020"/>
    <w:rsid w:val="000857E3"/>
    <w:rsid w:val="000A1866"/>
    <w:rsid w:val="000B0178"/>
    <w:rsid w:val="000D3DEB"/>
    <w:rsid w:val="000D72D1"/>
    <w:rsid w:val="000E1173"/>
    <w:rsid w:val="000E1361"/>
    <w:rsid w:val="000E6C70"/>
    <w:rsid w:val="000F42CE"/>
    <w:rsid w:val="00101390"/>
    <w:rsid w:val="00106E4F"/>
    <w:rsid w:val="00111A91"/>
    <w:rsid w:val="001143CC"/>
    <w:rsid w:val="00114978"/>
    <w:rsid w:val="00121D2D"/>
    <w:rsid w:val="001225C7"/>
    <w:rsid w:val="00131FDD"/>
    <w:rsid w:val="00132E05"/>
    <w:rsid w:val="00133F91"/>
    <w:rsid w:val="0014121C"/>
    <w:rsid w:val="001603C8"/>
    <w:rsid w:val="0016217B"/>
    <w:rsid w:val="00166A2A"/>
    <w:rsid w:val="00172B8F"/>
    <w:rsid w:val="001A09DE"/>
    <w:rsid w:val="001B7C5E"/>
    <w:rsid w:val="001D5BE2"/>
    <w:rsid w:val="001D6506"/>
    <w:rsid w:val="001E6EDB"/>
    <w:rsid w:val="002049CE"/>
    <w:rsid w:val="00222DD2"/>
    <w:rsid w:val="00223BC6"/>
    <w:rsid w:val="00234938"/>
    <w:rsid w:val="00237DCD"/>
    <w:rsid w:val="00242DAD"/>
    <w:rsid w:val="00262A69"/>
    <w:rsid w:val="002642BB"/>
    <w:rsid w:val="00265A88"/>
    <w:rsid w:val="00271BB7"/>
    <w:rsid w:val="00277105"/>
    <w:rsid w:val="00282707"/>
    <w:rsid w:val="00290559"/>
    <w:rsid w:val="0029466C"/>
    <w:rsid w:val="002949F9"/>
    <w:rsid w:val="002A041B"/>
    <w:rsid w:val="002A2FF9"/>
    <w:rsid w:val="002A6D9A"/>
    <w:rsid w:val="002B43D7"/>
    <w:rsid w:val="002C5682"/>
    <w:rsid w:val="002C713F"/>
    <w:rsid w:val="002D1B3A"/>
    <w:rsid w:val="002E0213"/>
    <w:rsid w:val="002E2DA6"/>
    <w:rsid w:val="002E5BEA"/>
    <w:rsid w:val="002E6EA1"/>
    <w:rsid w:val="002F0D22"/>
    <w:rsid w:val="002F4058"/>
    <w:rsid w:val="003102C2"/>
    <w:rsid w:val="00316642"/>
    <w:rsid w:val="003451F2"/>
    <w:rsid w:val="00350497"/>
    <w:rsid w:val="00351EDE"/>
    <w:rsid w:val="00352959"/>
    <w:rsid w:val="00352BD2"/>
    <w:rsid w:val="00354006"/>
    <w:rsid w:val="00355ED4"/>
    <w:rsid w:val="00357C25"/>
    <w:rsid w:val="00367336"/>
    <w:rsid w:val="00372BE7"/>
    <w:rsid w:val="003730BD"/>
    <w:rsid w:val="00374AD7"/>
    <w:rsid w:val="00384D6F"/>
    <w:rsid w:val="00393A11"/>
    <w:rsid w:val="00393BCF"/>
    <w:rsid w:val="00393E2D"/>
    <w:rsid w:val="00395CD0"/>
    <w:rsid w:val="003A2564"/>
    <w:rsid w:val="003A6E56"/>
    <w:rsid w:val="003B066B"/>
    <w:rsid w:val="003B217E"/>
    <w:rsid w:val="003E4319"/>
    <w:rsid w:val="003F0504"/>
    <w:rsid w:val="004028B2"/>
    <w:rsid w:val="00411793"/>
    <w:rsid w:val="00420155"/>
    <w:rsid w:val="0042583E"/>
    <w:rsid w:val="00464E3B"/>
    <w:rsid w:val="00476DBE"/>
    <w:rsid w:val="00485CF2"/>
    <w:rsid w:val="004A4D3F"/>
    <w:rsid w:val="004A7F6B"/>
    <w:rsid w:val="004B28A5"/>
    <w:rsid w:val="004C5466"/>
    <w:rsid w:val="004D0F45"/>
    <w:rsid w:val="004E7C00"/>
    <w:rsid w:val="004F7C1D"/>
    <w:rsid w:val="00501283"/>
    <w:rsid w:val="005018EF"/>
    <w:rsid w:val="0051718D"/>
    <w:rsid w:val="005238D6"/>
    <w:rsid w:val="00531F63"/>
    <w:rsid w:val="005350A5"/>
    <w:rsid w:val="00546DDC"/>
    <w:rsid w:val="00581BEC"/>
    <w:rsid w:val="00583636"/>
    <w:rsid w:val="0059324E"/>
    <w:rsid w:val="005933F1"/>
    <w:rsid w:val="005A4315"/>
    <w:rsid w:val="005B5A4C"/>
    <w:rsid w:val="005D3286"/>
    <w:rsid w:val="005D784B"/>
    <w:rsid w:val="005E1043"/>
    <w:rsid w:val="005E4821"/>
    <w:rsid w:val="005E70FF"/>
    <w:rsid w:val="005F19B6"/>
    <w:rsid w:val="005F1E7A"/>
    <w:rsid w:val="006043CB"/>
    <w:rsid w:val="00617FC1"/>
    <w:rsid w:val="00663D69"/>
    <w:rsid w:val="00666B3B"/>
    <w:rsid w:val="00670B5B"/>
    <w:rsid w:val="006842FD"/>
    <w:rsid w:val="00690F94"/>
    <w:rsid w:val="00692BA5"/>
    <w:rsid w:val="006A5499"/>
    <w:rsid w:val="006A70BA"/>
    <w:rsid w:val="006B27CC"/>
    <w:rsid w:val="006B5912"/>
    <w:rsid w:val="006C5653"/>
    <w:rsid w:val="006C6128"/>
    <w:rsid w:val="006E03E2"/>
    <w:rsid w:val="006F1D63"/>
    <w:rsid w:val="006F57F7"/>
    <w:rsid w:val="006F643C"/>
    <w:rsid w:val="00700B04"/>
    <w:rsid w:val="00707A29"/>
    <w:rsid w:val="00712E11"/>
    <w:rsid w:val="00713CCA"/>
    <w:rsid w:val="00713E9C"/>
    <w:rsid w:val="00716151"/>
    <w:rsid w:val="007242C7"/>
    <w:rsid w:val="00727C7E"/>
    <w:rsid w:val="00734962"/>
    <w:rsid w:val="007367DE"/>
    <w:rsid w:val="00742600"/>
    <w:rsid w:val="00761895"/>
    <w:rsid w:val="00782405"/>
    <w:rsid w:val="00782AD3"/>
    <w:rsid w:val="007A0F71"/>
    <w:rsid w:val="007A4539"/>
    <w:rsid w:val="007A6B53"/>
    <w:rsid w:val="007B0D3C"/>
    <w:rsid w:val="007B222A"/>
    <w:rsid w:val="007D102F"/>
    <w:rsid w:val="007D19FD"/>
    <w:rsid w:val="007E46E9"/>
    <w:rsid w:val="007F2866"/>
    <w:rsid w:val="007F56B7"/>
    <w:rsid w:val="007F5F97"/>
    <w:rsid w:val="008021FA"/>
    <w:rsid w:val="008117DE"/>
    <w:rsid w:val="00815182"/>
    <w:rsid w:val="00815239"/>
    <w:rsid w:val="00820FE5"/>
    <w:rsid w:val="008224BB"/>
    <w:rsid w:val="00836EFA"/>
    <w:rsid w:val="0084509D"/>
    <w:rsid w:val="00845956"/>
    <w:rsid w:val="00854ACC"/>
    <w:rsid w:val="008668B0"/>
    <w:rsid w:val="00866A7A"/>
    <w:rsid w:val="008770B8"/>
    <w:rsid w:val="0088071D"/>
    <w:rsid w:val="008853E4"/>
    <w:rsid w:val="00891E11"/>
    <w:rsid w:val="008B5383"/>
    <w:rsid w:val="008B5391"/>
    <w:rsid w:val="008C0813"/>
    <w:rsid w:val="008C4D79"/>
    <w:rsid w:val="008D556D"/>
    <w:rsid w:val="008D6637"/>
    <w:rsid w:val="008D786F"/>
    <w:rsid w:val="008D7B2B"/>
    <w:rsid w:val="00913464"/>
    <w:rsid w:val="00914EF9"/>
    <w:rsid w:val="0092345C"/>
    <w:rsid w:val="00930CD4"/>
    <w:rsid w:val="009336AA"/>
    <w:rsid w:val="00935343"/>
    <w:rsid w:val="00957550"/>
    <w:rsid w:val="00960268"/>
    <w:rsid w:val="00960CEA"/>
    <w:rsid w:val="00962F23"/>
    <w:rsid w:val="00965AF9"/>
    <w:rsid w:val="00974DC8"/>
    <w:rsid w:val="00982982"/>
    <w:rsid w:val="00987567"/>
    <w:rsid w:val="009948A5"/>
    <w:rsid w:val="009B7A43"/>
    <w:rsid w:val="009C4912"/>
    <w:rsid w:val="009C5F65"/>
    <w:rsid w:val="009C79BE"/>
    <w:rsid w:val="009D4E09"/>
    <w:rsid w:val="009D684C"/>
    <w:rsid w:val="009D7D29"/>
    <w:rsid w:val="009F1635"/>
    <w:rsid w:val="009F287D"/>
    <w:rsid w:val="009F44B7"/>
    <w:rsid w:val="00A00172"/>
    <w:rsid w:val="00A050D1"/>
    <w:rsid w:val="00A104D4"/>
    <w:rsid w:val="00A14934"/>
    <w:rsid w:val="00A23CC2"/>
    <w:rsid w:val="00A4779E"/>
    <w:rsid w:val="00A521F5"/>
    <w:rsid w:val="00A54A1C"/>
    <w:rsid w:val="00A64494"/>
    <w:rsid w:val="00A83485"/>
    <w:rsid w:val="00A97713"/>
    <w:rsid w:val="00AA6299"/>
    <w:rsid w:val="00AA6AA6"/>
    <w:rsid w:val="00AA7F88"/>
    <w:rsid w:val="00AB181F"/>
    <w:rsid w:val="00AC4BE2"/>
    <w:rsid w:val="00AC7170"/>
    <w:rsid w:val="00AE0A0A"/>
    <w:rsid w:val="00AE49F7"/>
    <w:rsid w:val="00B00126"/>
    <w:rsid w:val="00B113FF"/>
    <w:rsid w:val="00B115D7"/>
    <w:rsid w:val="00B1703B"/>
    <w:rsid w:val="00B204EA"/>
    <w:rsid w:val="00B25E02"/>
    <w:rsid w:val="00B3148D"/>
    <w:rsid w:val="00B34550"/>
    <w:rsid w:val="00B4234D"/>
    <w:rsid w:val="00B6225B"/>
    <w:rsid w:val="00B63A43"/>
    <w:rsid w:val="00B91261"/>
    <w:rsid w:val="00B96900"/>
    <w:rsid w:val="00BD140D"/>
    <w:rsid w:val="00BD40F5"/>
    <w:rsid w:val="00BD4580"/>
    <w:rsid w:val="00BD73C6"/>
    <w:rsid w:val="00BE4693"/>
    <w:rsid w:val="00BF19B3"/>
    <w:rsid w:val="00C05EF1"/>
    <w:rsid w:val="00C07E84"/>
    <w:rsid w:val="00C100D6"/>
    <w:rsid w:val="00C20D23"/>
    <w:rsid w:val="00C33ED5"/>
    <w:rsid w:val="00C340F5"/>
    <w:rsid w:val="00C36A6A"/>
    <w:rsid w:val="00C37394"/>
    <w:rsid w:val="00C456E3"/>
    <w:rsid w:val="00C53FAD"/>
    <w:rsid w:val="00C60CBF"/>
    <w:rsid w:val="00C62BA5"/>
    <w:rsid w:val="00C62C31"/>
    <w:rsid w:val="00C67A33"/>
    <w:rsid w:val="00C67F73"/>
    <w:rsid w:val="00C714B3"/>
    <w:rsid w:val="00C71641"/>
    <w:rsid w:val="00C72EAE"/>
    <w:rsid w:val="00C75C59"/>
    <w:rsid w:val="00C82368"/>
    <w:rsid w:val="00CA27D4"/>
    <w:rsid w:val="00CA2983"/>
    <w:rsid w:val="00CA6A02"/>
    <w:rsid w:val="00CC172C"/>
    <w:rsid w:val="00CC3A09"/>
    <w:rsid w:val="00CD1964"/>
    <w:rsid w:val="00CD6A1A"/>
    <w:rsid w:val="00CE2D83"/>
    <w:rsid w:val="00CE587B"/>
    <w:rsid w:val="00CF6068"/>
    <w:rsid w:val="00D07505"/>
    <w:rsid w:val="00D07F6E"/>
    <w:rsid w:val="00D16ACE"/>
    <w:rsid w:val="00D20696"/>
    <w:rsid w:val="00D21BED"/>
    <w:rsid w:val="00D25C27"/>
    <w:rsid w:val="00D27895"/>
    <w:rsid w:val="00D5045A"/>
    <w:rsid w:val="00D52AE2"/>
    <w:rsid w:val="00D55868"/>
    <w:rsid w:val="00D57D32"/>
    <w:rsid w:val="00D675A9"/>
    <w:rsid w:val="00D733CF"/>
    <w:rsid w:val="00D75844"/>
    <w:rsid w:val="00D91DA8"/>
    <w:rsid w:val="00D97702"/>
    <w:rsid w:val="00DA20BD"/>
    <w:rsid w:val="00DA78B5"/>
    <w:rsid w:val="00DB15EF"/>
    <w:rsid w:val="00DB7991"/>
    <w:rsid w:val="00DC08E9"/>
    <w:rsid w:val="00DC4649"/>
    <w:rsid w:val="00DE4CE9"/>
    <w:rsid w:val="00DF3B3E"/>
    <w:rsid w:val="00DF798B"/>
    <w:rsid w:val="00E03CBD"/>
    <w:rsid w:val="00E10C76"/>
    <w:rsid w:val="00E15A91"/>
    <w:rsid w:val="00E57374"/>
    <w:rsid w:val="00E64F04"/>
    <w:rsid w:val="00E67303"/>
    <w:rsid w:val="00E75580"/>
    <w:rsid w:val="00E93F26"/>
    <w:rsid w:val="00E96548"/>
    <w:rsid w:val="00EB2F39"/>
    <w:rsid w:val="00EB48EC"/>
    <w:rsid w:val="00EC151A"/>
    <w:rsid w:val="00EC5B81"/>
    <w:rsid w:val="00ED0459"/>
    <w:rsid w:val="00ED48D6"/>
    <w:rsid w:val="00ED7E33"/>
    <w:rsid w:val="00EE68E2"/>
    <w:rsid w:val="00EF58B1"/>
    <w:rsid w:val="00EF59F0"/>
    <w:rsid w:val="00F120C6"/>
    <w:rsid w:val="00F13F6E"/>
    <w:rsid w:val="00F26475"/>
    <w:rsid w:val="00F51855"/>
    <w:rsid w:val="00F637F8"/>
    <w:rsid w:val="00F642C5"/>
    <w:rsid w:val="00F7145C"/>
    <w:rsid w:val="00F82235"/>
    <w:rsid w:val="00F92B51"/>
    <w:rsid w:val="00FA7321"/>
    <w:rsid w:val="00FB2ACA"/>
    <w:rsid w:val="00FB3725"/>
    <w:rsid w:val="00FB6C04"/>
    <w:rsid w:val="00FC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72C"/>
    <w:rPr>
      <w:sz w:val="24"/>
    </w:rPr>
  </w:style>
  <w:style w:type="paragraph" w:styleId="Heading1">
    <w:name w:val="heading 1"/>
    <w:basedOn w:val="Normal"/>
    <w:next w:val="BodyText"/>
    <w:qFormat/>
    <w:rsid w:val="00CC172C"/>
    <w:pPr>
      <w:keepNext/>
      <w:spacing w:after="240"/>
      <w:outlineLvl w:val="0"/>
    </w:pPr>
    <w:rPr>
      <w:b/>
    </w:rPr>
  </w:style>
  <w:style w:type="paragraph" w:styleId="Heading2">
    <w:name w:val="heading 2"/>
    <w:basedOn w:val="Normal"/>
    <w:next w:val="Normal"/>
    <w:qFormat/>
    <w:rsid w:val="00CC172C"/>
    <w:pPr>
      <w:keepNext/>
      <w:spacing w:after="240"/>
      <w:outlineLvl w:val="1"/>
    </w:pPr>
    <w:rPr>
      <w:b/>
      <w:i/>
    </w:rPr>
  </w:style>
  <w:style w:type="paragraph" w:styleId="Heading3">
    <w:name w:val="heading 3"/>
    <w:basedOn w:val="Normal"/>
    <w:next w:val="BodyText"/>
    <w:qFormat/>
    <w:rsid w:val="00CC172C"/>
    <w:pPr>
      <w:keepNext/>
      <w:spacing w:after="240"/>
      <w:outlineLvl w:val="2"/>
    </w:pPr>
  </w:style>
  <w:style w:type="paragraph" w:styleId="Heading4">
    <w:name w:val="heading 4"/>
    <w:basedOn w:val="Normal"/>
    <w:next w:val="Normal"/>
    <w:qFormat/>
    <w:rsid w:val="00CC172C"/>
    <w:pPr>
      <w:keepNext/>
      <w:spacing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172C"/>
    <w:pPr>
      <w:spacing w:line="480" w:lineRule="auto"/>
      <w:ind w:firstLine="1440"/>
    </w:pPr>
  </w:style>
  <w:style w:type="paragraph" w:customStyle="1" w:styleId="HeadingText">
    <w:name w:val="Heading Text"/>
    <w:basedOn w:val="Normal"/>
    <w:rsid w:val="00CC172C"/>
    <w:rPr>
      <w:noProof/>
    </w:rPr>
  </w:style>
  <w:style w:type="paragraph" w:styleId="Date">
    <w:name w:val="Date"/>
    <w:basedOn w:val="HeadingText"/>
    <w:rsid w:val="00CC172C"/>
  </w:style>
  <w:style w:type="paragraph" w:styleId="EnvelopeAddress">
    <w:name w:val="envelope address"/>
    <w:basedOn w:val="Normal"/>
    <w:rsid w:val="00CC172C"/>
    <w:pPr>
      <w:framePr w:w="7920" w:h="1980" w:hRule="exact" w:hSpace="180" w:wrap="auto" w:hAnchor="page" w:xAlign="center" w:yAlign="bottom"/>
      <w:ind w:left="2880"/>
    </w:pPr>
  </w:style>
  <w:style w:type="paragraph" w:styleId="EnvelopeReturn">
    <w:name w:val="envelope return"/>
    <w:basedOn w:val="Normal"/>
    <w:rsid w:val="00CC172C"/>
    <w:rPr>
      <w:sz w:val="20"/>
    </w:rPr>
  </w:style>
  <w:style w:type="paragraph" w:styleId="Footer">
    <w:name w:val="footer"/>
    <w:basedOn w:val="Normal"/>
    <w:rsid w:val="00CC172C"/>
    <w:pPr>
      <w:tabs>
        <w:tab w:val="center" w:pos="4680"/>
        <w:tab w:val="right" w:pos="9360"/>
      </w:tabs>
    </w:pPr>
  </w:style>
  <w:style w:type="paragraph" w:styleId="Header">
    <w:name w:val="header"/>
    <w:basedOn w:val="Normal"/>
    <w:rsid w:val="00CC172C"/>
    <w:pPr>
      <w:tabs>
        <w:tab w:val="center" w:pos="4680"/>
        <w:tab w:val="right" w:pos="9360"/>
      </w:tabs>
    </w:pPr>
  </w:style>
  <w:style w:type="character" w:customStyle="1" w:styleId="HeaderFooter">
    <w:name w:val="HeaderFooter"/>
    <w:basedOn w:val="DefaultParagraphFont"/>
    <w:rsid w:val="00FA7321"/>
    <w:rPr>
      <w:rFonts w:ascii="Century Schoolbook" w:hAnsi="Century Schoolbook"/>
      <w:b/>
      <w:dstrike w:val="0"/>
      <w:noProof/>
      <w:sz w:val="18"/>
      <w:szCs w:val="16"/>
      <w:vertAlign w:val="baseline"/>
    </w:rPr>
  </w:style>
  <w:style w:type="paragraph" w:customStyle="1" w:styleId="HeadingTitle">
    <w:name w:val="Heading Title"/>
    <w:basedOn w:val="Normal"/>
    <w:rsid w:val="00CC172C"/>
    <w:rPr>
      <w:b/>
      <w:caps/>
    </w:rPr>
  </w:style>
  <w:style w:type="paragraph" w:customStyle="1" w:styleId="MemoHeading">
    <w:name w:val="Memo Heading"/>
    <w:basedOn w:val="Normal"/>
    <w:link w:val="MemoHeadingChar"/>
    <w:rsid w:val="003730BD"/>
    <w:pPr>
      <w:spacing w:after="480"/>
      <w:jc w:val="center"/>
    </w:pPr>
    <w:rPr>
      <w:b/>
      <w:noProof/>
      <w:spacing w:val="120"/>
      <w:sz w:val="28"/>
      <w:u w:val="single"/>
    </w:rPr>
  </w:style>
  <w:style w:type="character" w:styleId="PageNumber">
    <w:name w:val="page number"/>
    <w:basedOn w:val="DefaultParagraphFont"/>
    <w:rsid w:val="00CC172C"/>
  </w:style>
  <w:style w:type="paragraph" w:customStyle="1" w:styleId="Privilege">
    <w:name w:val="Privilege"/>
    <w:basedOn w:val="MemoHeading"/>
    <w:rsid w:val="00CC172C"/>
    <w:rPr>
      <w:b w:val="0"/>
      <w:caps/>
      <w:spacing w:val="20"/>
      <w:sz w:val="24"/>
      <w:szCs w:val="24"/>
      <w:u w:val="none"/>
    </w:rPr>
  </w:style>
  <w:style w:type="paragraph" w:customStyle="1" w:styleId="ReLine">
    <w:name w:val="ReLine"/>
    <w:basedOn w:val="Normal"/>
    <w:rsid w:val="00CC172C"/>
  </w:style>
  <w:style w:type="table" w:styleId="TableGrid">
    <w:name w:val="Table Grid"/>
    <w:basedOn w:val="TableNormal"/>
    <w:rsid w:val="00D7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FooterOfficeInfo">
    <w:name w:val="HeaderFooterOfficeInfo"/>
    <w:basedOn w:val="DefaultParagraphFont"/>
    <w:rsid w:val="009F287D"/>
    <w:rPr>
      <w:rFonts w:ascii="Century Schoolbook" w:hAnsi="Century Schoolbook"/>
      <w:b/>
      <w:noProof/>
      <w:vanish w:val="0"/>
      <w:color w:val="auto"/>
      <w:sz w:val="16"/>
    </w:rPr>
  </w:style>
  <w:style w:type="paragraph" w:customStyle="1" w:styleId="PartnerList">
    <w:name w:val="PartnerList"/>
    <w:basedOn w:val="Normal"/>
    <w:link w:val="PartnerListChar"/>
    <w:rsid w:val="009F287D"/>
    <w:rPr>
      <w:rFonts w:ascii="Tahoma" w:hAnsi="Tahoma"/>
      <w:b/>
      <w:noProof/>
      <w:color w:val="404040"/>
      <w:spacing w:val="120"/>
      <w:sz w:val="8"/>
      <w:u w:val="single"/>
    </w:rPr>
  </w:style>
  <w:style w:type="character" w:customStyle="1" w:styleId="MemoHeadingChar">
    <w:name w:val="Memo Heading Char"/>
    <w:basedOn w:val="DefaultParagraphFont"/>
    <w:link w:val="MemoHeading"/>
    <w:rsid w:val="009F287D"/>
    <w:rPr>
      <w:b/>
      <w:noProof/>
      <w:spacing w:val="120"/>
      <w:sz w:val="28"/>
      <w:u w:val="single"/>
    </w:rPr>
  </w:style>
  <w:style w:type="character" w:customStyle="1" w:styleId="PartnerListChar">
    <w:name w:val="PartnerList Char"/>
    <w:basedOn w:val="MemoHeadingChar"/>
    <w:link w:val="PartnerList"/>
    <w:rsid w:val="009F287D"/>
    <w:rPr>
      <w:rFonts w:ascii="Tahoma" w:hAnsi="Tahoma"/>
      <w:b/>
      <w:noProof/>
      <w:color w:val="404040"/>
      <w:spacing w:val="120"/>
      <w:sz w:val="8"/>
      <w:u w:val="single"/>
    </w:rPr>
  </w:style>
  <w:style w:type="paragraph" w:customStyle="1" w:styleId="vsLastFooter">
    <w:name w:val="vsLastFooter"/>
    <w:basedOn w:val="MemoHeading"/>
    <w:next w:val="Normal"/>
    <w:rsid w:val="009F287D"/>
    <w:pPr>
      <w:widowControl w:val="0"/>
      <w:spacing w:after="240" w:line="240" w:lineRule="exact"/>
      <w:jc w:val="left"/>
    </w:pPr>
    <w:rPr>
      <w:rFonts w:ascii="Arial" w:hAnsi="Arial" w:cs="Arial"/>
      <w:color w:val="FF0000"/>
      <w:sz w:val="14"/>
    </w:rPr>
  </w:style>
  <w:style w:type="paragraph" w:styleId="ListParagraph">
    <w:name w:val="List Paragraph"/>
    <w:basedOn w:val="Normal"/>
    <w:uiPriority w:val="34"/>
    <w:qFormat/>
    <w:rsid w:val="00AE49F7"/>
    <w:pPr>
      <w:ind w:left="720"/>
      <w:contextualSpacing/>
    </w:pPr>
  </w:style>
  <w:style w:type="paragraph" w:styleId="FootnoteText">
    <w:name w:val="footnote text"/>
    <w:basedOn w:val="Normal"/>
    <w:link w:val="FootnoteTextChar"/>
    <w:rsid w:val="006F57F7"/>
    <w:rPr>
      <w:sz w:val="20"/>
    </w:rPr>
  </w:style>
  <w:style w:type="character" w:customStyle="1" w:styleId="FootnoteTextChar">
    <w:name w:val="Footnote Text Char"/>
    <w:basedOn w:val="DefaultParagraphFont"/>
    <w:link w:val="FootnoteText"/>
    <w:rsid w:val="006F57F7"/>
  </w:style>
  <w:style w:type="character" w:styleId="FootnoteReference">
    <w:name w:val="footnote reference"/>
    <w:basedOn w:val="DefaultParagraphFont"/>
    <w:rsid w:val="006F57F7"/>
    <w:rPr>
      <w:vertAlign w:val="superscript"/>
    </w:rPr>
  </w:style>
  <w:style w:type="character" w:customStyle="1" w:styleId="vsDraft">
    <w:name w:val="vsDraft"/>
    <w:basedOn w:val="DefaultParagraphFont"/>
    <w:rsid w:val="0042583E"/>
    <w:rPr>
      <w:b/>
      <w:noProof/>
    </w:rPr>
  </w:style>
  <w:style w:type="character" w:styleId="Hyperlink">
    <w:name w:val="Hyperlink"/>
    <w:basedOn w:val="DefaultParagraphFont"/>
    <w:rsid w:val="00B204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86599">
      <w:bodyDiv w:val="1"/>
      <w:marLeft w:val="0"/>
      <w:marRight w:val="0"/>
      <w:marTop w:val="0"/>
      <w:marBottom w:val="0"/>
      <w:divBdr>
        <w:top w:val="none" w:sz="0" w:space="0" w:color="auto"/>
        <w:left w:val="none" w:sz="0" w:space="0" w:color="auto"/>
        <w:bottom w:val="none" w:sz="0" w:space="0" w:color="auto"/>
        <w:right w:val="none" w:sz="0" w:space="0" w:color="auto"/>
      </w:divBdr>
    </w:div>
    <w:div w:id="1550263620">
      <w:bodyDiv w:val="1"/>
      <w:marLeft w:val="0"/>
      <w:marRight w:val="0"/>
      <w:marTop w:val="0"/>
      <w:marBottom w:val="0"/>
      <w:divBdr>
        <w:top w:val="none" w:sz="0" w:space="0" w:color="auto"/>
        <w:left w:val="none" w:sz="0" w:space="0" w:color="auto"/>
        <w:bottom w:val="none" w:sz="0" w:space="0" w:color="auto"/>
        <w:right w:val="none" w:sz="0" w:space="0" w:color="auto"/>
      </w:divBdr>
      <w:divsChild>
        <w:div w:id="1509977311">
          <w:marLeft w:val="0"/>
          <w:marRight w:val="0"/>
          <w:marTop w:val="0"/>
          <w:marBottom w:val="0"/>
          <w:divBdr>
            <w:top w:val="none" w:sz="0" w:space="0" w:color="auto"/>
            <w:left w:val="none" w:sz="0" w:space="0" w:color="auto"/>
            <w:bottom w:val="none" w:sz="0" w:space="0" w:color="auto"/>
            <w:right w:val="none" w:sz="0" w:space="0" w:color="auto"/>
          </w:divBdr>
          <w:divsChild>
            <w:div w:id="302468657">
              <w:marLeft w:val="0"/>
              <w:marRight w:val="0"/>
              <w:marTop w:val="0"/>
              <w:marBottom w:val="0"/>
              <w:divBdr>
                <w:top w:val="none" w:sz="0" w:space="0" w:color="auto"/>
                <w:left w:val="none" w:sz="0" w:space="0" w:color="auto"/>
                <w:bottom w:val="none" w:sz="0" w:space="0" w:color="auto"/>
                <w:right w:val="none" w:sz="0" w:space="0" w:color="auto"/>
              </w:divBdr>
              <w:divsChild>
                <w:div w:id="341975443">
                  <w:marLeft w:val="0"/>
                  <w:marRight w:val="0"/>
                  <w:marTop w:val="0"/>
                  <w:marBottom w:val="375"/>
                  <w:divBdr>
                    <w:top w:val="none" w:sz="0" w:space="0" w:color="auto"/>
                    <w:left w:val="none" w:sz="0" w:space="0" w:color="auto"/>
                    <w:bottom w:val="none" w:sz="0" w:space="0" w:color="auto"/>
                    <w:right w:val="none" w:sz="0" w:space="0" w:color="auto"/>
                  </w:divBdr>
                  <w:divsChild>
                    <w:div w:id="1702899582">
                      <w:marLeft w:val="0"/>
                      <w:marRight w:val="0"/>
                      <w:marTop w:val="0"/>
                      <w:marBottom w:val="0"/>
                      <w:divBdr>
                        <w:top w:val="none" w:sz="0" w:space="0" w:color="auto"/>
                        <w:left w:val="none" w:sz="0" w:space="0" w:color="auto"/>
                        <w:bottom w:val="none" w:sz="0" w:space="0" w:color="auto"/>
                        <w:right w:val="none" w:sz="0" w:space="0" w:color="auto"/>
                      </w:divBdr>
                      <w:divsChild>
                        <w:div w:id="171385591">
                          <w:marLeft w:val="0"/>
                          <w:marRight w:val="0"/>
                          <w:marTop w:val="0"/>
                          <w:marBottom w:val="0"/>
                          <w:divBdr>
                            <w:top w:val="none" w:sz="0" w:space="0" w:color="auto"/>
                            <w:left w:val="none" w:sz="0" w:space="0" w:color="auto"/>
                            <w:bottom w:val="none" w:sz="0" w:space="0" w:color="auto"/>
                            <w:right w:val="none" w:sz="0" w:space="0" w:color="auto"/>
                          </w:divBdr>
                          <w:divsChild>
                            <w:div w:id="1102915083">
                              <w:marLeft w:val="0"/>
                              <w:marRight w:val="0"/>
                              <w:marTop w:val="0"/>
                              <w:marBottom w:val="0"/>
                              <w:divBdr>
                                <w:top w:val="none" w:sz="0" w:space="0" w:color="auto"/>
                                <w:left w:val="none" w:sz="0" w:space="0" w:color="auto"/>
                                <w:bottom w:val="none" w:sz="0" w:space="0" w:color="auto"/>
                                <w:right w:val="none" w:sz="0" w:space="0" w:color="auto"/>
                              </w:divBdr>
                              <w:divsChild>
                                <w:div w:id="560095457">
                                  <w:marLeft w:val="0"/>
                                  <w:marRight w:val="0"/>
                                  <w:marTop w:val="0"/>
                                  <w:marBottom w:val="0"/>
                                  <w:divBdr>
                                    <w:top w:val="none" w:sz="0" w:space="0" w:color="auto"/>
                                    <w:left w:val="none" w:sz="0" w:space="0" w:color="auto"/>
                                    <w:bottom w:val="none" w:sz="0" w:space="0" w:color="auto"/>
                                    <w:right w:val="none" w:sz="0" w:space="0" w:color="auto"/>
                                  </w:divBdr>
                                  <w:divsChild>
                                    <w:div w:id="1197618140">
                                      <w:marLeft w:val="0"/>
                                      <w:marRight w:val="0"/>
                                      <w:marTop w:val="0"/>
                                      <w:marBottom w:val="0"/>
                                      <w:divBdr>
                                        <w:top w:val="none" w:sz="0" w:space="0" w:color="auto"/>
                                        <w:left w:val="none" w:sz="0" w:space="0" w:color="auto"/>
                                        <w:bottom w:val="none" w:sz="0" w:space="0" w:color="auto"/>
                                        <w:right w:val="none" w:sz="0" w:space="0" w:color="auto"/>
                                      </w:divBdr>
                                      <w:divsChild>
                                        <w:div w:id="101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orys%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A83A-62F9-4069-9DBA-69240EE8ED77}">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DE31548-DD23-44A2-B7DC-5CBAEFAB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Vorys Memo.dotm</Template>
  <TotalTime>20</TotalTime>
  <Pages>2</Pages>
  <Words>693</Words>
  <Characters>3775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Memo to Ohio Provider Resource Association re Sprinkler Requirements for ICFs</vt:lpstr>
    </vt:vector>
  </TitlesOfParts>
  <Company>Vorys, Sater, Seymour and Pease LLP</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Ohio Provider Resource Association re Sprinkler Requirements for ICFs</dc:title>
  <dc:subject>Sprinkler Requirements for ICFs</dc:subject>
  <dc:creator>Shannon C. Majoras</dc:creator>
  <cp:keywords/>
  <dc:description/>
  <cp:lastModifiedBy>rpamicon</cp:lastModifiedBy>
  <cp:revision>5</cp:revision>
  <cp:lastPrinted>2017-08-15T18:50:00Z</cp:lastPrinted>
  <dcterms:created xsi:type="dcterms:W3CDTF">2017-08-15T19:25:00Z</dcterms:created>
  <dcterms:modified xsi:type="dcterms:W3CDTF">2017-08-18T00:29:00Z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Title">
    <vt:lpwstr>Memo to Ohio Provider Resource Association re Sprinkler Requirements for ICFs</vt:lpwstr>
  </property>
  <property fmtid="{D5CDD505-2E9C-101B-9397-08002B2CF9AE}" pid="3" name="Doc Author">
    <vt:lpwstr>scmajoras</vt:lpwstr>
  </property>
  <property fmtid="{D5CDD505-2E9C-101B-9397-08002B2CF9AE}" pid="4" name="Office Version">
    <vt:lpwstr>2007</vt:lpwstr>
  </property>
  <property fmtid="{D5CDD505-2E9C-101B-9397-08002B2CF9AE}" pid="5" name="TypeofTemplate">
    <vt:lpwstr>Memo</vt:lpwstr>
  </property>
  <property fmtid="{D5CDD505-2E9C-101B-9397-08002B2CF9AE}" pid="6" name="vsAssemblyLocation">
    <vt:lpwstr>VorysMemo.vsto|3474e72a-3974-442e-b9ca-3d0084c8550e|vstolocal</vt:lpwstr>
  </property>
  <property fmtid="{D5CDD505-2E9C-101B-9397-08002B2CF9AE}" pid="7" name="vsAssemblyName">
    <vt:lpwstr>4E3C66D5-58D4-491E-A7D4-64AF99AF6E8B</vt:lpwstr>
  </property>
</Properties>
</file>