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E6" w:rsidRDefault="00491768" w:rsidP="0011615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410FF">
        <w:rPr>
          <w:rFonts w:ascii="Arial" w:hAnsi="Arial" w:cs="Arial"/>
          <w:b/>
          <w:color w:val="000000" w:themeColor="text1"/>
          <w:sz w:val="24"/>
          <w:szCs w:val="24"/>
        </w:rPr>
        <w:t>Ohio Department of Developmental Disabilities</w:t>
      </w:r>
      <w:r w:rsidR="00A746EE" w:rsidRPr="003410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6AE6" w:rsidRPr="003410FF">
        <w:rPr>
          <w:rFonts w:ascii="Arial" w:hAnsi="Arial" w:cs="Arial"/>
          <w:b/>
          <w:color w:val="000000" w:themeColor="text1"/>
          <w:sz w:val="24"/>
          <w:szCs w:val="24"/>
        </w:rPr>
        <w:t>Incentives</w:t>
      </w:r>
    </w:p>
    <w:p w:rsidR="006D70A2" w:rsidRPr="00076933" w:rsidRDefault="006D70A2" w:rsidP="00116151">
      <w:pPr>
        <w:spacing w:after="0"/>
        <w:jc w:val="both"/>
        <w:rPr>
          <w:rFonts w:ascii="Arial" w:eastAsia="PMingLiU" w:hAnsi="Arial" w:cs="Arial"/>
          <w:b/>
          <w:bCs/>
          <w:color w:val="000000"/>
          <w:sz w:val="16"/>
          <w:szCs w:val="16"/>
        </w:rPr>
      </w:pPr>
    </w:p>
    <w:p w:rsidR="00B8123A" w:rsidRPr="003410FF" w:rsidRDefault="000D633B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Waiver</w:t>
      </w:r>
    </w:p>
    <w:p w:rsidR="00B8123A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  <w:sz w:val="20"/>
          <w:szCs w:val="20"/>
        </w:rPr>
      </w:pPr>
    </w:p>
    <w:p w:rsidR="00076933" w:rsidRPr="003410FF" w:rsidRDefault="000D633B" w:rsidP="00076933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County Board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who receives a 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state-funded waiver when leaving a developmental center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Option to choose either waiver allocation methodology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0124E" w:rsidRPr="003410FF" w:rsidRDefault="000D633B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Option 1:  </w:t>
      </w:r>
    </w:p>
    <w:p w:rsidR="004B1AA0" w:rsidRPr="003410FF" w:rsidRDefault="00D2343C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$40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,000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state match, 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which includes day services</w:t>
      </w:r>
    </w:p>
    <w:p w:rsidR="000D633B" w:rsidRPr="003410FF" w:rsidRDefault="000D633B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Part of on-going allocation after two years</w:t>
      </w:r>
    </w:p>
    <w:p w:rsidR="00D0124E" w:rsidRPr="003410FF" w:rsidRDefault="000D633B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Option 2:  </w:t>
      </w:r>
    </w:p>
    <w:p w:rsidR="002B6AE6" w:rsidRPr="003410FF" w:rsidRDefault="002B6AE6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DODD pay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s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all waiver costs including day service</w:t>
      </w:r>
    </w:p>
    <w:p w:rsidR="004B1AA0" w:rsidRPr="003410FF" w:rsidRDefault="000D633B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Funding removed upon disenrollment</w:t>
      </w:r>
    </w:p>
    <w:p w:rsidR="00076933" w:rsidRPr="003410FF" w:rsidRDefault="000D633B" w:rsidP="00076933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SSA Funding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Individual who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receive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 a waiver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funded by developmental center downsizing and ICF bed conversion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County must participate in </w:t>
      </w:r>
      <w:r w:rsidR="00B8123A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HOME Choice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Program to be eligible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County eligible for up to $23,500 (DODD state match) for serving 35 new people or $11,750 (DODD state m</w:t>
      </w:r>
      <w:r w:rsidR="00D0124E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atch) for serving 17 new people</w:t>
      </w:r>
    </w:p>
    <w:p w:rsidR="005F051B" w:rsidRPr="003410FF" w:rsidRDefault="005F051B" w:rsidP="0007693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76933" w:rsidRPr="003410FF" w:rsidRDefault="00763D1D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Home Choice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E74997" w:rsidRDefault="00E74997" w:rsidP="00E74997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has moved into qualified housing 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 home owned or leased by the individual or family member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An individually leased and lockable apartment (with sleeping, bathing and cooking areas within unit in which the individual or family member has domain and control)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 community based residential setting with no more than four unrelated persons</w:t>
      </w:r>
    </w:p>
    <w:p w:rsidR="00E74997" w:rsidRPr="00E74997" w:rsidRDefault="00E74997" w:rsidP="00E74997">
      <w:pPr>
        <w:pStyle w:val="ListParagraph"/>
        <w:numPr>
          <w:ilvl w:val="1"/>
          <w:numId w:val="8"/>
        </w:numPr>
        <w:jc w:val="both"/>
        <w:rPr>
          <w:rStyle w:val="A2"/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E74997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has lived in a 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facility-based (NF, ICF, Hospital</w:t>
      </w:r>
      <w:r w:rsidRPr="00E74997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or RTF for children) care setting for at least 90 days</w:t>
      </w:r>
    </w:p>
    <w:p w:rsidR="00763D1D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Community Transition Services </w:t>
      </w:r>
      <w:r w:rsidRPr="003410FF">
        <w:rPr>
          <w:rStyle w:val="A6"/>
          <w:rFonts w:ascii="Arial" w:hAnsi="Arial" w:cs="Arial"/>
          <w:color w:val="000000" w:themeColor="text1"/>
          <w:sz w:val="20"/>
          <w:szCs w:val="20"/>
        </w:rPr>
        <w:t>(e.g. first month’s rent, furniture, etc.) aka “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Goods &amp; Services” up to $2000 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  <w:u w:val="single"/>
        </w:rPr>
        <w:t>and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up to $500 fo</w:t>
      </w:r>
      <w:r w:rsidR="00A73BFA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r Pre-transition transportation</w:t>
      </w:r>
    </w:p>
    <w:p w:rsidR="00763D1D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Case Management for HOME Choice is provided by the county board of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 DD through the role of the SSA</w:t>
      </w:r>
    </w:p>
    <w:p w:rsidR="00A73BFA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Optional: The county board serves as the HOME Choice Transition Coordinator during the discharge planning period.  (In lieu of TCM)  </w:t>
      </w:r>
    </w:p>
    <w:p w:rsidR="00A73BFA" w:rsidRPr="003410FF" w:rsidRDefault="00763D1D" w:rsidP="00076933">
      <w:pPr>
        <w:pStyle w:val="ListParagraph"/>
        <w:numPr>
          <w:ilvl w:val="1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A provider agreement must be submitted for authorization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 of this service</w:t>
      </w:r>
    </w:p>
    <w:p w:rsidR="00763D1D" w:rsidRPr="003410FF" w:rsidRDefault="00763D1D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There are three deliverables paid to county boards as Transit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ion Coordinators: up to $5,000</w:t>
      </w:r>
    </w:p>
    <w:p w:rsidR="00B8123A" w:rsidRPr="003410FF" w:rsidRDefault="00B8123A" w:rsidP="00076933">
      <w:pPr>
        <w:spacing w:after="0" w:line="240" w:lineRule="auto"/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</w:p>
    <w:p w:rsidR="00076933" w:rsidRPr="003410FF" w:rsidRDefault="00765CD0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Housing Assistance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Individual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moving to waiver </w:t>
      </w:r>
      <w:r w:rsidR="003C3A6B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setting (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home</w:t>
      </w:r>
      <w:r w:rsidR="003C3A6B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)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of four or fewer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CCA funds are available for the purchase, renovation and or construction of community housing.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May be licensed or non-licensed settings  (Not ICFs/IID) 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May be single family homes, duplexes, quad-plexes or condos</w:t>
      </w:r>
    </w:p>
    <w:p w:rsidR="00765CD0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No mobile homes/ trailers</w:t>
      </w:r>
    </w:p>
    <w:p w:rsidR="006235E9" w:rsidRPr="003410FF" w:rsidRDefault="006235E9" w:rsidP="002A4C54">
      <w:pPr>
        <w:pStyle w:val="ListParagraph"/>
        <w:spacing w:after="200" w:line="276" w:lineRule="auto"/>
        <w:ind w:left="1080" w:firstLine="360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6235E9" w:rsidRPr="003410FF" w:rsidRDefault="006235E9" w:rsidP="00076933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5123:1-1-03:  Distribution of Community Assistance Funds for the Acquisition of Housing</w:t>
      </w:r>
    </w:p>
    <w:p w:rsidR="006235E9" w:rsidRPr="003410FF" w:rsidRDefault="006235E9" w:rsidP="00076933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5123:1-1-04: Community Capital Assistance Funds for the Development of Licensed Residential Facilities</w:t>
      </w:r>
    </w:p>
    <w:p w:rsidR="003C3A6B" w:rsidRPr="00E74997" w:rsidRDefault="006235E9" w:rsidP="00E74997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5123:1-1-17:  Accessibility and Renovation Projects</w:t>
      </w:r>
      <w:r w:rsidRPr="003410FF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ab/>
      </w:r>
    </w:p>
    <w:p w:rsidR="00076933" w:rsidRPr="003410FF" w:rsidRDefault="00802779" w:rsidP="003C3A6B">
      <w:pPr>
        <w:spacing w:after="0"/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3410FF">
        <w:rPr>
          <w:rFonts w:ascii="Arial" w:hAnsi="Arial" w:cs="Arial"/>
          <w:sz w:val="20"/>
          <w:szCs w:val="20"/>
          <w:u w:val="single"/>
        </w:rPr>
        <w:t>Rental Assistance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Individual (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>state funded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resident only) 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 xml:space="preserve">who 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moves from a DC to a 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>waiver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setting </w:t>
      </w:r>
    </w:p>
    <w:p w:rsidR="006235E9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>ndiv</w:t>
      </w:r>
      <w:r>
        <w:rPr>
          <w:rFonts w:ascii="Arial" w:eastAsia="PMingLiU" w:hAnsi="Arial" w:cs="Arial"/>
          <w:b/>
          <w:bCs/>
          <w:sz w:val="20"/>
          <w:szCs w:val="20"/>
        </w:rPr>
        <w:t>idual living in a non-DC ICF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 xml:space="preserve"> who leaves the ICF </w:t>
      </w:r>
      <w:r>
        <w:rPr>
          <w:rFonts w:ascii="Arial" w:eastAsia="PMingLiU" w:hAnsi="Arial" w:cs="Arial"/>
          <w:b/>
          <w:bCs/>
          <w:sz w:val="20"/>
          <w:szCs w:val="20"/>
        </w:rPr>
        <w:t xml:space="preserve">and enrolls 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>o</w:t>
      </w:r>
      <w:r>
        <w:rPr>
          <w:rFonts w:ascii="Arial" w:eastAsia="PMingLiU" w:hAnsi="Arial" w:cs="Arial"/>
          <w:b/>
          <w:bCs/>
          <w:sz w:val="20"/>
          <w:szCs w:val="20"/>
        </w:rPr>
        <w:t>n a waiver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Scope of availability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May be used in homes previously funded with DODD Community Capital Assistance (purchase and/or renovation)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 xml:space="preserve">Landlord may be not-for-profit or for profit entity 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May be in a licensed or non-licensed setting</w:t>
      </w:r>
    </w:p>
    <w:p w:rsidR="00763D1D" w:rsidRPr="003410FF" w:rsidRDefault="00763D1D" w:rsidP="00076933">
      <w:pPr>
        <w:spacing w:after="0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076933" w:rsidRPr="003410FF" w:rsidRDefault="00A746EE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Community Integration Add-On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D70A2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 a waiver</w:t>
      </w:r>
      <w:r w:rsidR="00A746EE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 or ICF bed conversion</w:t>
      </w:r>
    </w:p>
    <w:p w:rsidR="002B6AE6" w:rsidRPr="003410FF" w:rsidRDefault="002B6AE6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HPC rate enhancement is $0.52/15 minute unit. Enhancement is for HPC only and d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oes not include On-Site/On-Call</w:t>
      </w:r>
    </w:p>
    <w:p w:rsidR="002B6AE6" w:rsidRPr="003410FF" w:rsidRDefault="002B6AE6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Individuals who have been admitted to a DC for stabilization </w:t>
      </w:r>
      <w:r w:rsidR="00DF7239">
        <w:rPr>
          <w:rFonts w:ascii="Arial" w:hAnsi="Arial" w:cs="Arial"/>
          <w:color w:val="000000" w:themeColor="text1"/>
          <w:sz w:val="20"/>
          <w:szCs w:val="20"/>
        </w:rPr>
        <w:t xml:space="preserve">funded by the county board 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>are not included in the continuing DC census and therefore are n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ot eligible for the rate add-on</w:t>
      </w:r>
    </w:p>
    <w:p w:rsidR="00E2196B" w:rsidRPr="003410FF" w:rsidRDefault="00D0124E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ime-limited for up to 12 months to support the individual’s transition from an institution to ho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me and community based setting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B6AE6" w:rsidRPr="003410FF" w:rsidRDefault="00D0124E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C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an be in addition to medical and/or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behavior add-ons as applicable</w:t>
      </w:r>
    </w:p>
    <w:p w:rsidR="00A746EE" w:rsidRPr="003410FF" w:rsidRDefault="00A746EE" w:rsidP="002A4C54">
      <w:pPr>
        <w:spacing w:after="0"/>
        <w:ind w:left="720" w:firstLine="72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A746EE" w:rsidRPr="003410FF" w:rsidRDefault="00A746EE" w:rsidP="00076933">
      <w:pPr>
        <w:pStyle w:val="ListParagraph"/>
        <w:numPr>
          <w:ilvl w:val="1"/>
          <w:numId w:val="15"/>
        </w:numPr>
        <w:spacing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5123:2-9-30 – Home and community-based services waivers-homemaker/ personal care under the individua</w:t>
      </w:r>
      <w:r w:rsidR="00085DD7"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l options and level one waivers</w:t>
      </w:r>
    </w:p>
    <w:p w:rsidR="00F7077A" w:rsidRPr="003C3A6B" w:rsidRDefault="00F7077A" w:rsidP="00076933">
      <w:pPr>
        <w:spacing w:after="0"/>
        <w:jc w:val="both"/>
        <w:rPr>
          <w:rFonts w:ascii="Arial" w:hAnsi="Arial" w:cs="Arial"/>
          <w:color w:val="FF0000"/>
          <w:sz w:val="14"/>
          <w:szCs w:val="14"/>
        </w:rPr>
      </w:pPr>
    </w:p>
    <w:p w:rsidR="00B8123A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 xml:space="preserve">ICF </w:t>
      </w:r>
      <w:r w:rsidR="00085DD7" w:rsidRPr="003410FF">
        <w:rPr>
          <w:rFonts w:ascii="Arial" w:eastAsia="PMingLiU" w:hAnsi="Arial" w:cs="Arial"/>
          <w:b/>
          <w:bCs/>
          <w:color w:val="000000"/>
        </w:rPr>
        <w:t>Rate Enhancement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D70A2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sz w:val="20"/>
          <w:szCs w:val="20"/>
        </w:rPr>
        <w:t>who receives a waiver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</w:t>
      </w:r>
    </w:p>
    <w:p w:rsidR="00B8123A" w:rsidRPr="003410FF" w:rsidRDefault="00B8123A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If an ICF directly admits an individual from a DC, the ICF can request rate reconsideration from DODD wi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thin 90 days of the admission</w:t>
      </w:r>
    </w:p>
    <w:p w:rsidR="00076933" w:rsidRPr="003410FF" w:rsidRDefault="00B8123A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ICF must provide a summary of the facts supporting the request and demonstrate the increased costs to be elig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ible for the rate enhancement</w:t>
      </w:r>
    </w:p>
    <w:p w:rsidR="00076933" w:rsidRPr="003410FF" w:rsidRDefault="00B8123A" w:rsidP="00076933">
      <w:pPr>
        <w:pStyle w:val="ListParagraph"/>
        <w:numPr>
          <w:ilvl w:val="1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maximum allowed amount is $50/day divided by the number of beds in the facility (Example: $50 per day/10 beds = $5.00 per day i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ncrease to the per diem rate)</w:t>
      </w:r>
    </w:p>
    <w:p w:rsidR="00B638A6" w:rsidRPr="003410FF" w:rsidRDefault="00B8123A" w:rsidP="00076933">
      <w:pPr>
        <w:pStyle w:val="ListParagraph"/>
        <w:numPr>
          <w:ilvl w:val="1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rate enhancement continues until th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e start of the next fiscal year</w:t>
      </w:r>
    </w:p>
    <w:p w:rsidR="00085DD7" w:rsidRPr="003410FF" w:rsidRDefault="00085DD7" w:rsidP="002A4C54">
      <w:pPr>
        <w:spacing w:after="0"/>
        <w:ind w:left="720" w:firstLine="72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085DD7" w:rsidRPr="003410FF" w:rsidRDefault="00085DD7" w:rsidP="00076933">
      <w:pPr>
        <w:pStyle w:val="ListParagraph"/>
        <w:numPr>
          <w:ilvl w:val="1"/>
          <w:numId w:val="15"/>
        </w:numPr>
        <w:spacing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5123:2-7-28 – Intermediate care facilities – prospective rate reconsideration on the basis of extreme hardship upon admission of a resident from a state-operated developmental center</w:t>
      </w:r>
    </w:p>
    <w:p w:rsidR="00085DD7" w:rsidRPr="003C3A6B" w:rsidRDefault="00085DD7" w:rsidP="00076933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6D70A2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 xml:space="preserve">DODD Follow Along 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  <w:r w:rsidR="00E74997">
        <w:rPr>
          <w:rFonts w:ascii="Arial" w:eastAsia="PMingLiU" w:hAnsi="Arial" w:cs="Arial"/>
          <w:b/>
          <w:bCs/>
          <w:sz w:val="20"/>
          <w:szCs w:val="20"/>
        </w:rPr>
        <w:t>[Waiver]</w:t>
      </w:r>
    </w:p>
    <w:p w:rsidR="00085DD7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 xml:space="preserve">Individual who receives a waiver 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funded </w:t>
      </w:r>
      <w:r w:rsidR="002A4C54" w:rsidRPr="003410FF">
        <w:rPr>
          <w:rFonts w:ascii="Arial" w:eastAsia="PMingLiU" w:hAnsi="Arial" w:cs="Arial"/>
          <w:b/>
          <w:bCs/>
          <w:sz w:val="20"/>
          <w:szCs w:val="20"/>
        </w:rPr>
        <w:t>by developmental center downsizing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to receive waiver or ICF services</w:t>
      </w:r>
    </w:p>
    <w:p w:rsidR="00B8123A" w:rsidRPr="003410FF" w:rsidRDefault="00B8123A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DODD staff will provide follow along services </w:t>
      </w:r>
      <w:r w:rsidR="00D0124E"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for anyone leaving a DC 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up to three years or longer, if needed</w:t>
      </w:r>
    </w:p>
    <w:p w:rsidR="00B8123A" w:rsidRPr="003410FF" w:rsidRDefault="00B8123A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Readmission to a center </w:t>
      </w:r>
      <w:r w:rsidR="00DF7239">
        <w:rPr>
          <w:rFonts w:ascii="Arial" w:eastAsia="PMingLiU" w:hAnsi="Arial" w:cs="Arial"/>
          <w:bCs/>
          <w:color w:val="000000"/>
          <w:sz w:val="20"/>
          <w:szCs w:val="20"/>
        </w:rPr>
        <w:t xml:space="preserve">without charge 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(except closing centers) will be considered if deemed necessary</w:t>
      </w:r>
      <w:r w:rsidR="00085DD7"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 within one year of exit from developmental center</w:t>
      </w:r>
      <w:r w:rsidR="00DF7239">
        <w:rPr>
          <w:rFonts w:ascii="Arial" w:eastAsia="PMingLiU" w:hAnsi="Arial" w:cs="Arial"/>
          <w:bCs/>
          <w:color w:val="000000"/>
          <w:sz w:val="20"/>
          <w:szCs w:val="20"/>
        </w:rPr>
        <w:t xml:space="preserve"> for individuals who were state funded</w:t>
      </w:r>
    </w:p>
    <w:p w:rsidR="001B66BA" w:rsidRPr="003410FF" w:rsidRDefault="001B66BA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  <w:r w:rsidR="00E74997">
        <w:rPr>
          <w:rFonts w:ascii="Arial" w:eastAsia="PMingLiU" w:hAnsi="Arial" w:cs="Arial"/>
          <w:b/>
          <w:bCs/>
          <w:sz w:val="20"/>
          <w:szCs w:val="20"/>
        </w:rPr>
        <w:t>[ICF]</w:t>
      </w:r>
    </w:p>
    <w:p w:rsidR="00085DD7" w:rsidRPr="003410FF" w:rsidRDefault="003C3A6B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sz w:val="20"/>
          <w:szCs w:val="20"/>
        </w:rPr>
        <w:t>a state funded waiver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for exit and conversion</w:t>
      </w:r>
      <w:r w:rsidR="002A4C54" w:rsidRPr="003410FF">
        <w:rPr>
          <w:rFonts w:ascii="Arial" w:eastAsia="PMingLiU" w:hAnsi="Arial" w:cs="Arial"/>
          <w:b/>
          <w:bCs/>
          <w:sz w:val="20"/>
          <w:szCs w:val="20"/>
        </w:rPr>
        <w:t xml:space="preserve"> and individuals leaving ICF to move to downsized ICF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DODD staff will provide follow along services for anyone leaving for up to one year or longer, if requested</w:t>
      </w: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Technical Assistance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085DD7" w:rsidRPr="003410FF" w:rsidRDefault="002A4C54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Any individual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receiving services in the DD system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Any individual, guardian, county board or provider may request free technical assistance to assist in prevention of admission or readmission to an institutional setting</w:t>
      </w: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D2343C" w:rsidRPr="003410FF" w:rsidRDefault="00D2343C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Systems Innovation Dollars</w:t>
      </w:r>
    </w:p>
    <w:p w:rsidR="004C4A99" w:rsidRPr="003410FF" w:rsidRDefault="004C4A99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491768" w:rsidRPr="003410FF" w:rsidRDefault="00491768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Training for staff prior to service delivery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085DD7" w:rsidRPr="003410FF" w:rsidRDefault="00085DD7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Indi</w:t>
      </w:r>
      <w:r w:rsidR="003C3A6B">
        <w:rPr>
          <w:rFonts w:ascii="Arial" w:eastAsia="PMingLiU" w:hAnsi="Arial" w:cs="Arial"/>
          <w:b/>
          <w:bCs/>
          <w:sz w:val="20"/>
          <w:szCs w:val="20"/>
        </w:rPr>
        <w:t>vidual leaving developmental center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to move to waiver </w:t>
      </w:r>
      <w:r w:rsidR="003C3A6B">
        <w:rPr>
          <w:rFonts w:ascii="Arial" w:eastAsia="PMingLiU" w:hAnsi="Arial" w:cs="Arial"/>
          <w:b/>
          <w:bCs/>
          <w:sz w:val="20"/>
          <w:szCs w:val="20"/>
        </w:rPr>
        <w:t>setting</w:t>
      </w:r>
    </w:p>
    <w:p w:rsidR="00924283" w:rsidRPr="003410FF" w:rsidRDefault="00D2343C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A waiver provider could be reimbursed/receive up to $500 per individual to receive services to participate in individual specific training prior to the initiation of service delivery.</w:t>
      </w:r>
    </w:p>
    <w:p w:rsidR="00924283" w:rsidRPr="003410FF" w:rsidRDefault="00D2343C" w:rsidP="00076933">
      <w:pPr>
        <w:numPr>
          <w:ilvl w:val="2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The services would include but are not limited to: 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Direct interaction with the individual to receive services to understand the person-centered-plan, wants, desires, expectations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Participation of direct service staff (direct care, nursing) in IP reviews, discharge/planning meetings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Identification and understanding of individual needs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Promoting the foundation of relationship building with the provider of future services</w:t>
      </w:r>
    </w:p>
    <w:p w:rsidR="002A4C54" w:rsidRPr="003410FF" w:rsidRDefault="002A4C54" w:rsidP="003410F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491768" w:rsidRPr="003410FF" w:rsidRDefault="00491768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Additional money for starting household</w:t>
      </w:r>
      <w:r w:rsidR="00E8436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(BRIDGE Funding)</w:t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491768" w:rsidRPr="003410FF" w:rsidRDefault="003C3A6B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 a waiver</w:t>
      </w:r>
      <w:r w:rsidR="00491768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</w:t>
      </w:r>
      <w:r w:rsidR="004019FA">
        <w:rPr>
          <w:rFonts w:ascii="Arial" w:eastAsia="PMingLiU" w:hAnsi="Arial" w:cs="Arial"/>
          <w:b/>
          <w:bCs/>
          <w:sz w:val="20"/>
          <w:szCs w:val="20"/>
        </w:rPr>
        <w:t>, exit or conversion of ICF bed</w:t>
      </w:r>
    </w:p>
    <w:p w:rsidR="00924283" w:rsidRPr="003410FF" w:rsidRDefault="00085DD7" w:rsidP="003410FF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After </w:t>
      </w:r>
      <w:r w:rsidR="00491768" w:rsidRPr="003410FF">
        <w:rPr>
          <w:rFonts w:ascii="Arial" w:eastAsia="PMingLiU" w:hAnsi="Arial" w:cs="Arial"/>
          <w:bCs/>
          <w:color w:val="000000"/>
          <w:sz w:val="20"/>
          <w:szCs w:val="20"/>
        </w:rPr>
        <w:t>HOME Choice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 funds are exhausted and more items or serves are needed to start a household, individual may receive up to an additional $1,000 for goods and services</w:t>
      </w:r>
    </w:p>
    <w:p w:rsidR="00D2343C" w:rsidRPr="003410FF" w:rsidRDefault="00D2343C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5F051B" w:rsidRPr="003410FF" w:rsidRDefault="00E2196B" w:rsidP="00076933">
      <w:pPr>
        <w:spacing w:after="0"/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Contact Information</w:t>
      </w:r>
    </w:p>
    <w:p w:rsidR="00E2196B" w:rsidRPr="003410FF" w:rsidRDefault="00E2196B" w:rsidP="00076933">
      <w:pPr>
        <w:spacing w:after="0"/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</w:p>
    <w:p w:rsidR="00484345" w:rsidRPr="003410FF" w:rsidRDefault="00484345" w:rsidP="00484345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Waivers</w:t>
      </w:r>
    </w:p>
    <w:p w:rsidR="00484345" w:rsidRPr="003410FF" w:rsidRDefault="00484345" w:rsidP="00484345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Lori Horvath</w:t>
      </w:r>
      <w:r w:rsidR="00DF7239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, Deputy Director, 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Medicaid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3C3A6B">
        <w:rPr>
          <w:rFonts w:ascii="Arial" w:eastAsia="PMingLiU" w:hAnsi="Arial" w:cs="Arial"/>
          <w:bCs/>
          <w:color w:val="000000" w:themeColor="text1"/>
          <w:sz w:val="20"/>
          <w:szCs w:val="20"/>
        </w:rPr>
        <w:t>Development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  <w:t>614-387-0375</w:t>
      </w:r>
    </w:p>
    <w:p w:rsidR="006235E9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ICF Conversion</w:t>
      </w:r>
    </w:p>
    <w:p w:rsidR="00491768" w:rsidRPr="003410FF" w:rsidRDefault="00491768" w:rsidP="00484345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Josh Anderson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Manager of Operations, Medicaid</w:t>
      </w:r>
      <w:r w:rsidR="003C3A6B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Development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  <w:t>614-387-0576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HOME Choice, Follow-along or Technical Assistant</w:t>
      </w:r>
    </w:p>
    <w:p w:rsidR="00491768" w:rsidRPr="003410FF" w:rsidRDefault="00491768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Sara Lawson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Residential Resource Administrator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484345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614-420-4058</w:t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Housing Rental Assistance, Capital</w:t>
      </w:r>
    </w:p>
    <w:p w:rsidR="002A4C54" w:rsidRPr="003410FF" w:rsidRDefault="00491768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Ernie Fischer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Capital Housing Administrator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614-752-3013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</w:p>
    <w:p w:rsidR="002A4C54" w:rsidRPr="003410FF" w:rsidRDefault="002A4C54" w:rsidP="002A4C54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General Questions</w:t>
      </w:r>
    </w:p>
    <w:p w:rsidR="00491768" w:rsidRPr="00E74997" w:rsidRDefault="002A4C54" w:rsidP="00E74997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Ginnie Whisman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Deputy Director, Residential Resources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614-466-4177</w:t>
      </w:r>
      <w:r w:rsidR="00491768" w:rsidRPr="00E74997">
        <w:rPr>
          <w:rFonts w:ascii="Arial" w:eastAsia="PMingLiU" w:hAnsi="Arial" w:cs="Arial"/>
          <w:bCs/>
          <w:color w:val="000000" w:themeColor="text1"/>
        </w:rPr>
        <w:tab/>
      </w:r>
    </w:p>
    <w:sectPr w:rsidR="00491768" w:rsidRPr="00E74997" w:rsidSect="00076933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C6" w:rsidRDefault="00F76DC6" w:rsidP="002B6AE6">
      <w:pPr>
        <w:spacing w:after="0" w:line="240" w:lineRule="auto"/>
      </w:pPr>
      <w:r>
        <w:separator/>
      </w:r>
    </w:p>
  </w:endnote>
  <w:endnote w:type="continuationSeparator" w:id="0">
    <w:p w:rsidR="00F76DC6" w:rsidRDefault="00F76DC6" w:rsidP="002B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82903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1768" w:rsidRPr="002A4C54" w:rsidRDefault="00491768" w:rsidP="00AF0BA9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</w:pPr>
        <w:r w:rsidRPr="00076933">
          <w:rPr>
            <w:rFonts w:ascii="Arial" w:hAnsi="Arial" w:cs="Arial"/>
            <w:sz w:val="20"/>
            <w:szCs w:val="20"/>
          </w:rPr>
          <w:fldChar w:fldCharType="begin"/>
        </w:r>
        <w:r w:rsidRPr="0007693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76933">
          <w:rPr>
            <w:rFonts w:ascii="Arial" w:hAnsi="Arial" w:cs="Arial"/>
            <w:sz w:val="20"/>
            <w:szCs w:val="20"/>
          </w:rPr>
          <w:fldChar w:fldCharType="separate"/>
        </w:r>
        <w:r w:rsidR="000A5704" w:rsidRPr="000A5704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07693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076933">
          <w:rPr>
            <w:rFonts w:ascii="Arial" w:hAnsi="Arial" w:cs="Arial"/>
            <w:b/>
            <w:bCs/>
            <w:sz w:val="20"/>
            <w:szCs w:val="20"/>
          </w:rPr>
          <w:t xml:space="preserve"> | </w:t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  <w:r w:rsidR="00AF0BA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 xml:space="preserve">   </w:t>
        </w:r>
        <w:r w:rsidR="003C3A6B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  <w:r w:rsidR="003C3A6B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  <w:r w:rsidR="004E3DB8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May 4</w:t>
        </w:r>
        <w:r w:rsidR="003C3A6B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, 2016</w:t>
        </w:r>
        <w:r w:rsidR="00AF0BA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 xml:space="preserve">      </w:t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</w:p>
    </w:sdtContent>
  </w:sdt>
  <w:p w:rsidR="002B6AE6" w:rsidRPr="00076933" w:rsidRDefault="002B6AE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C6" w:rsidRDefault="00F76DC6" w:rsidP="002B6AE6">
      <w:pPr>
        <w:spacing w:after="0" w:line="240" w:lineRule="auto"/>
      </w:pPr>
      <w:r>
        <w:separator/>
      </w:r>
    </w:p>
  </w:footnote>
  <w:footnote w:type="continuationSeparator" w:id="0">
    <w:p w:rsidR="00F76DC6" w:rsidRDefault="00F76DC6" w:rsidP="002B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C4"/>
    <w:multiLevelType w:val="hybridMultilevel"/>
    <w:tmpl w:val="128A8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64A6C"/>
    <w:multiLevelType w:val="hybridMultilevel"/>
    <w:tmpl w:val="8D18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8FB"/>
    <w:multiLevelType w:val="hybridMultilevel"/>
    <w:tmpl w:val="3A4CD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9DE"/>
    <w:multiLevelType w:val="hybridMultilevel"/>
    <w:tmpl w:val="CF3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2E27"/>
    <w:multiLevelType w:val="hybridMultilevel"/>
    <w:tmpl w:val="9B0CB010"/>
    <w:lvl w:ilvl="0" w:tplc="F244A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8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2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41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A2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0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5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6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D812B3"/>
    <w:multiLevelType w:val="hybridMultilevel"/>
    <w:tmpl w:val="32A4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0A8"/>
    <w:multiLevelType w:val="hybridMultilevel"/>
    <w:tmpl w:val="C6E2681A"/>
    <w:lvl w:ilvl="0" w:tplc="246E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261C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85812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D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E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E3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10A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F21D1F"/>
    <w:multiLevelType w:val="hybridMultilevel"/>
    <w:tmpl w:val="8550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532AF"/>
    <w:multiLevelType w:val="hybridMultilevel"/>
    <w:tmpl w:val="1F960D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62179"/>
    <w:multiLevelType w:val="hybridMultilevel"/>
    <w:tmpl w:val="AD867F20"/>
    <w:lvl w:ilvl="0" w:tplc="076282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02AE"/>
    <w:multiLevelType w:val="hybridMultilevel"/>
    <w:tmpl w:val="2376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C1731"/>
    <w:multiLevelType w:val="hybridMultilevel"/>
    <w:tmpl w:val="BDF04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45649"/>
    <w:multiLevelType w:val="hybridMultilevel"/>
    <w:tmpl w:val="06B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1AB4"/>
    <w:multiLevelType w:val="hybridMultilevel"/>
    <w:tmpl w:val="5E66F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086098"/>
    <w:multiLevelType w:val="hybridMultilevel"/>
    <w:tmpl w:val="E640D0CC"/>
    <w:lvl w:ilvl="0" w:tplc="A0E4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3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C1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62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15"/>
  </w:num>
  <w:num w:numId="14">
    <w:abstractNumId w:val="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A"/>
    <w:rsid w:val="00017AF1"/>
    <w:rsid w:val="00034DF6"/>
    <w:rsid w:val="00076933"/>
    <w:rsid w:val="00085DD7"/>
    <w:rsid w:val="000A4314"/>
    <w:rsid w:val="000A5704"/>
    <w:rsid w:val="000C4B41"/>
    <w:rsid w:val="000D633B"/>
    <w:rsid w:val="00107C6F"/>
    <w:rsid w:val="00116151"/>
    <w:rsid w:val="001B66BA"/>
    <w:rsid w:val="001F6B4E"/>
    <w:rsid w:val="002A4C54"/>
    <w:rsid w:val="002B6AE6"/>
    <w:rsid w:val="003410FF"/>
    <w:rsid w:val="003B78BE"/>
    <w:rsid w:val="003C3A6B"/>
    <w:rsid w:val="004019FA"/>
    <w:rsid w:val="00484345"/>
    <w:rsid w:val="00491768"/>
    <w:rsid w:val="004B1AA0"/>
    <w:rsid w:val="004B287F"/>
    <w:rsid w:val="004C4A99"/>
    <w:rsid w:val="004E3DB8"/>
    <w:rsid w:val="005F051B"/>
    <w:rsid w:val="006235E9"/>
    <w:rsid w:val="006365EA"/>
    <w:rsid w:val="006535D8"/>
    <w:rsid w:val="006D70A2"/>
    <w:rsid w:val="00730D0A"/>
    <w:rsid w:val="00763D1D"/>
    <w:rsid w:val="00765CD0"/>
    <w:rsid w:val="00802779"/>
    <w:rsid w:val="008A7982"/>
    <w:rsid w:val="00924283"/>
    <w:rsid w:val="009358B7"/>
    <w:rsid w:val="00966894"/>
    <w:rsid w:val="009D692E"/>
    <w:rsid w:val="00A4288A"/>
    <w:rsid w:val="00A73BFA"/>
    <w:rsid w:val="00A746EE"/>
    <w:rsid w:val="00AF0BA9"/>
    <w:rsid w:val="00B638A6"/>
    <w:rsid w:val="00B8123A"/>
    <w:rsid w:val="00D0124E"/>
    <w:rsid w:val="00D2343C"/>
    <w:rsid w:val="00DF7239"/>
    <w:rsid w:val="00E2196B"/>
    <w:rsid w:val="00E27B8B"/>
    <w:rsid w:val="00E74997"/>
    <w:rsid w:val="00E84360"/>
    <w:rsid w:val="00EC6695"/>
    <w:rsid w:val="00F7077A"/>
    <w:rsid w:val="00F76DC6"/>
    <w:rsid w:val="00F91BAE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9150"/>
  <w15:docId w15:val="{F2B20AF2-95CF-44B8-92AE-18EBA8B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7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8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6"/>
  </w:style>
  <w:style w:type="paragraph" w:styleId="Footer">
    <w:name w:val="footer"/>
    <w:basedOn w:val="Normal"/>
    <w:link w:val="FooterChar"/>
    <w:uiPriority w:val="99"/>
    <w:unhideWhenUsed/>
    <w:rsid w:val="002B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6"/>
  </w:style>
  <w:style w:type="paragraph" w:styleId="BalloonText">
    <w:name w:val="Balloon Text"/>
    <w:basedOn w:val="Normal"/>
    <w:link w:val="BalloonTextChar"/>
    <w:uiPriority w:val="99"/>
    <w:semiHidden/>
    <w:unhideWhenUsed/>
    <w:rsid w:val="002B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E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F051B"/>
    <w:pPr>
      <w:autoSpaceDE w:val="0"/>
      <w:autoSpaceDN w:val="0"/>
      <w:spacing w:after="0" w:line="240" w:lineRule="auto"/>
    </w:pPr>
    <w:rPr>
      <w:rFonts w:ascii="Open Sans" w:hAnsi="Open Sans" w:cs="Times New Roman"/>
      <w:color w:val="000000"/>
      <w:sz w:val="24"/>
      <w:szCs w:val="24"/>
    </w:rPr>
  </w:style>
  <w:style w:type="character" w:customStyle="1" w:styleId="A2">
    <w:name w:val="A2"/>
    <w:basedOn w:val="DefaultParagraphFont"/>
    <w:uiPriority w:val="99"/>
    <w:rsid w:val="005F051B"/>
    <w:rPr>
      <w:rFonts w:ascii="Open Sans" w:hAnsi="Open Sans" w:hint="default"/>
      <w:color w:val="000000"/>
    </w:rPr>
  </w:style>
  <w:style w:type="character" w:customStyle="1" w:styleId="A6">
    <w:name w:val="A6"/>
    <w:basedOn w:val="DefaultParagraphFont"/>
    <w:uiPriority w:val="99"/>
    <w:rsid w:val="005F051B"/>
    <w:rPr>
      <w:rFonts w:ascii="Open Sans" w:hAnsi="Open Sans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5F0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88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637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0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50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08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32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606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14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41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00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BC1B-BD26-4C64-8593-684EE90A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DODD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Baer, Brent</dc:creator>
  <cp:lastModifiedBy>Hutchison, Lisa</cp:lastModifiedBy>
  <cp:revision>9</cp:revision>
  <cp:lastPrinted>2016-04-05T15:56:00Z</cp:lastPrinted>
  <dcterms:created xsi:type="dcterms:W3CDTF">2016-03-22T18:14:00Z</dcterms:created>
  <dcterms:modified xsi:type="dcterms:W3CDTF">2016-12-06T19:15:00Z</dcterms:modified>
</cp:coreProperties>
</file>