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668C3722" w:rsidR="00C53BFA" w:rsidRPr="009966AB" w:rsidRDefault="00C53BFA" w:rsidP="004A6675">
      <w:pPr>
        <w:pStyle w:val="H1"/>
        <w:spacing w:after="40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4475">
        <w:rPr>
          <w:noProof/>
        </w:rPr>
        <w:t>Client education program</w:t>
      </w:r>
      <w:r w:rsidR="00964475">
        <w:rPr>
          <w:noProof/>
        </w:rPr>
        <w:br/>
        <w:t>for workers’ compensation</w:t>
      </w:r>
    </w:p>
    <w:p w14:paraId="38FD9286" w14:textId="02F764BD" w:rsidR="00954FC1" w:rsidRDefault="00964475" w:rsidP="00F1234F">
      <w:pPr>
        <w:pStyle w:val="H2"/>
        <w:spacing w:after="20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Sedgwick offers a comprehensive, webinar-based education program to current clients, covering a variety of topics within the workers’ compensation industry.</w:t>
      </w:r>
      <w:r w:rsidR="000F43B2">
        <w:rPr>
          <w:rFonts w:cstheme="minorHAnsi"/>
          <w:b w:val="0"/>
          <w:bCs/>
          <w:sz w:val="20"/>
          <w:szCs w:val="20"/>
        </w:rPr>
        <w:t xml:space="preserve"> These training webinars are free to member clients of Sedgwick.</w:t>
      </w:r>
    </w:p>
    <w:p w14:paraId="61A58133" w14:textId="4604C8C2" w:rsidR="004517F4" w:rsidRPr="00954FC1" w:rsidRDefault="00D07D3F" w:rsidP="00F1234F">
      <w:pPr>
        <w:pStyle w:val="H2"/>
        <w:spacing w:after="20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Sedgwick’s workers’ compensation educational series is designed to familiarize yourself with Ohio’s workers’ compensation system and show you how to maximize your program.</w:t>
      </w:r>
    </w:p>
    <w:p w14:paraId="7F26135B" w14:textId="77777777" w:rsidR="00D07D3F" w:rsidRDefault="00D07D3F" w:rsidP="000806DE">
      <w:pPr>
        <w:pStyle w:val="H2"/>
        <w:ind w:right="0"/>
        <w:rPr>
          <w:rFonts w:cstheme="minorHAnsi"/>
          <w:b w:val="0"/>
          <w:bCs/>
          <w:sz w:val="20"/>
          <w:szCs w:val="20"/>
        </w:rPr>
      </w:pPr>
      <w:r w:rsidRPr="00D07D3F">
        <w:rPr>
          <w:rFonts w:cstheme="minorHAnsi"/>
          <w:b w:val="0"/>
          <w:bCs/>
          <w:sz w:val="20"/>
          <w:szCs w:val="20"/>
        </w:rPr>
        <w:t>Webinar topics include:</w:t>
      </w:r>
    </w:p>
    <w:p w14:paraId="323BB824" w14:textId="071CA188" w:rsid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Navigating</w:t>
      </w:r>
      <w:r w:rsidR="00D07D3F">
        <w:rPr>
          <w:rFonts w:cstheme="minorHAnsi"/>
          <w:b w:val="0"/>
          <w:bCs/>
          <w:sz w:val="20"/>
          <w:szCs w:val="20"/>
        </w:rPr>
        <w:t xml:space="preserve"> Ohio workers’ compensation</w:t>
      </w:r>
    </w:p>
    <w:p w14:paraId="1745A289" w14:textId="24091A9E" w:rsidR="00D07D3F" w:rsidRP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Overview of the True-Up process (public and private)</w:t>
      </w:r>
    </w:p>
    <w:p w14:paraId="4711CF19" w14:textId="31A0D5F3" w:rsid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Benefits of coordinating your claims management</w:t>
      </w:r>
    </w:p>
    <w:p w14:paraId="335292AE" w14:textId="4953201A" w:rsid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Reducing your workers’ comp spend</w:t>
      </w:r>
    </w:p>
    <w:p w14:paraId="507D1282" w14:textId="0273AAFA" w:rsid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Workplace safety: 5 things you should be focusing on</w:t>
      </w:r>
    </w:p>
    <w:p w14:paraId="1600D1CF" w14:textId="4F402DD4" w:rsidR="00075916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Best practices for a successful workers’ comp program</w:t>
      </w:r>
    </w:p>
    <w:p w14:paraId="661E36CD" w14:textId="15640B33" w:rsidR="003E7C9A" w:rsidRDefault="00D07D3F" w:rsidP="00F1234F">
      <w:pPr>
        <w:pStyle w:val="H2"/>
        <w:spacing w:after="20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 xml:space="preserve">Sedgwick offers these educational programs </w:t>
      </w:r>
      <w:r w:rsidR="00075916">
        <w:rPr>
          <w:rFonts w:cstheme="minorHAnsi"/>
          <w:b w:val="0"/>
          <w:bCs/>
          <w:sz w:val="20"/>
          <w:szCs w:val="20"/>
        </w:rPr>
        <w:t>throughout the year</w:t>
      </w:r>
      <w:r>
        <w:rPr>
          <w:rFonts w:cstheme="minorHAnsi"/>
          <w:b w:val="0"/>
          <w:bCs/>
          <w:sz w:val="20"/>
          <w:szCs w:val="20"/>
        </w:rPr>
        <w:t>. The programs are designated for both private and public employers, private employers only or public employers only.  Additionally, all sessions qualify for 1-hour of the 2-hour Ohio Bureau of Workers’ Compensation safety training requirement for group and group retrospective-rated employers.</w:t>
      </w:r>
      <w:r w:rsidR="003E7C9A" w:rsidRPr="003E7C9A">
        <w:rPr>
          <w:rFonts w:cstheme="minorHAnsi"/>
          <w:b w:val="0"/>
          <w:bCs/>
          <w:sz w:val="20"/>
          <w:szCs w:val="20"/>
        </w:rPr>
        <w:t xml:space="preserve"> </w:t>
      </w:r>
    </w:p>
    <w:p w14:paraId="7F8FE038" w14:textId="0307522F" w:rsidR="00D07D3F" w:rsidRPr="003E7C9A" w:rsidRDefault="0036326C" w:rsidP="00F1234F">
      <w:pPr>
        <w:pStyle w:val="H2"/>
        <w:spacing w:after="20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 xml:space="preserve">Look for future communications with the dates, </w:t>
      </w:r>
      <w:proofErr w:type="gramStart"/>
      <w:r>
        <w:rPr>
          <w:rFonts w:cstheme="minorHAnsi"/>
          <w:b w:val="0"/>
          <w:bCs/>
          <w:sz w:val="20"/>
          <w:szCs w:val="20"/>
        </w:rPr>
        <w:t>times</w:t>
      </w:r>
      <w:proofErr w:type="gramEnd"/>
      <w:r>
        <w:rPr>
          <w:rFonts w:cstheme="minorHAnsi"/>
          <w:b w:val="0"/>
          <w:bCs/>
          <w:sz w:val="20"/>
          <w:szCs w:val="20"/>
        </w:rPr>
        <w:t xml:space="preserve"> and topics for the 202</w:t>
      </w:r>
      <w:r w:rsidR="00075916">
        <w:rPr>
          <w:rFonts w:cstheme="minorHAnsi"/>
          <w:b w:val="0"/>
          <w:bCs/>
          <w:sz w:val="20"/>
          <w:szCs w:val="20"/>
        </w:rPr>
        <w:t>5</w:t>
      </w:r>
      <w:r>
        <w:rPr>
          <w:rFonts w:cstheme="minorHAnsi"/>
          <w:b w:val="0"/>
          <w:bCs/>
          <w:sz w:val="20"/>
          <w:szCs w:val="20"/>
        </w:rPr>
        <w:t xml:space="preserve"> series. </w:t>
      </w:r>
    </w:p>
    <w:p w14:paraId="46391CC8" w14:textId="735ABE97" w:rsidR="00C53BFA" w:rsidRDefault="002E1197" w:rsidP="00F1234F">
      <w:pPr>
        <w:pStyle w:val="H2"/>
        <w:ind w:right="0"/>
      </w:pPr>
      <w:r w:rsidRPr="002E1197">
        <w:rPr>
          <w:rFonts w:cstheme="minorHAnsi"/>
          <w:b w:val="0"/>
          <w:bCs/>
          <w:sz w:val="20"/>
          <w:szCs w:val="20"/>
        </w:rPr>
        <w:t xml:space="preserve">If you have any questions, contact our Sedgwick </w:t>
      </w:r>
      <w:r w:rsidR="00D94849">
        <w:rPr>
          <w:rFonts w:cstheme="minorHAnsi"/>
          <w:b w:val="0"/>
          <w:bCs/>
          <w:sz w:val="20"/>
          <w:szCs w:val="20"/>
        </w:rPr>
        <w:t xml:space="preserve">program manager, </w:t>
      </w:r>
      <w:r w:rsidR="00A31804">
        <w:rPr>
          <w:rFonts w:cstheme="minorHAnsi"/>
          <w:b w:val="0"/>
          <w:bCs/>
          <w:sz w:val="20"/>
          <w:szCs w:val="20"/>
        </w:rPr>
        <w:t>David Deyo</w:t>
      </w:r>
      <w:r w:rsidR="00EB5759" w:rsidRPr="00EB5759">
        <w:rPr>
          <w:rFonts w:cstheme="minorHAnsi"/>
          <w:b w:val="0"/>
          <w:bCs/>
          <w:sz w:val="20"/>
          <w:szCs w:val="20"/>
        </w:rPr>
        <w:t xml:space="preserve">, at </w:t>
      </w:r>
      <w:r w:rsidR="00A31804">
        <w:rPr>
          <w:rFonts w:cstheme="minorHAnsi"/>
          <w:b w:val="0"/>
          <w:bCs/>
          <w:sz w:val="20"/>
          <w:szCs w:val="20"/>
        </w:rPr>
        <w:t>614-376-5401</w:t>
      </w:r>
      <w:r w:rsidR="00954FC1">
        <w:rPr>
          <w:rFonts w:cstheme="minorHAnsi"/>
          <w:b w:val="0"/>
          <w:bCs/>
          <w:sz w:val="20"/>
          <w:szCs w:val="20"/>
        </w:rPr>
        <w:t xml:space="preserve"> or </w:t>
      </w:r>
      <w:hyperlink r:id="rId8" w:history="1">
        <w:r w:rsidR="00A31804" w:rsidRPr="006102AF">
          <w:rPr>
            <w:rStyle w:val="Hyperlink"/>
            <w:rFonts w:cstheme="minorHAnsi"/>
            <w:b w:val="0"/>
            <w:bCs/>
            <w:sz w:val="20"/>
            <w:szCs w:val="20"/>
          </w:rPr>
          <w:t>david.deyo@sedgwick.com</w:t>
        </w:r>
      </w:hyperlink>
      <w:r w:rsidRPr="002E1197">
        <w:rPr>
          <w:rFonts w:cstheme="minorHAnsi"/>
          <w:b w:val="0"/>
          <w:bCs/>
          <w:sz w:val="20"/>
          <w:szCs w:val="20"/>
        </w:rPr>
        <w:t>.</w:t>
      </w:r>
      <w:r w:rsidR="00A31804">
        <w:rPr>
          <w:rFonts w:cstheme="minorHAnsi"/>
          <w:b w:val="0"/>
          <w:bCs/>
          <w:sz w:val="20"/>
          <w:szCs w:val="20"/>
        </w:rPr>
        <w:t xml:space="preserve"> </w:t>
      </w:r>
    </w:p>
    <w:sectPr w:rsidR="00C53BFA" w:rsidSect="00156639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6C86" w14:textId="77777777" w:rsidR="009C3339" w:rsidRDefault="009C3339">
      <w:pPr>
        <w:spacing w:after="0" w:line="240" w:lineRule="auto"/>
      </w:pPr>
      <w:r>
        <w:separator/>
      </w:r>
    </w:p>
  </w:endnote>
  <w:endnote w:type="continuationSeparator" w:id="0">
    <w:p w14:paraId="05FFDDC8" w14:textId="77777777" w:rsidR="009C3339" w:rsidRDefault="009C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075916" w:rsidRPr="001A015F" w:rsidRDefault="00075916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F84F" w14:textId="77777777" w:rsidR="009C3339" w:rsidRDefault="009C3339">
      <w:pPr>
        <w:spacing w:after="0" w:line="240" w:lineRule="auto"/>
      </w:pPr>
      <w:r>
        <w:separator/>
      </w:r>
    </w:p>
  </w:footnote>
  <w:footnote w:type="continuationSeparator" w:id="0">
    <w:p w14:paraId="38570272" w14:textId="77777777" w:rsidR="009C3339" w:rsidRDefault="009C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075916" w:rsidRPr="001A015F" w:rsidRDefault="00075916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075916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DDB"/>
    <w:multiLevelType w:val="hybridMultilevel"/>
    <w:tmpl w:val="03CC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5964"/>
    <w:multiLevelType w:val="hybridMultilevel"/>
    <w:tmpl w:val="3440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2D0E"/>
    <w:multiLevelType w:val="hybridMultilevel"/>
    <w:tmpl w:val="4132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00726"/>
    <w:multiLevelType w:val="hybridMultilevel"/>
    <w:tmpl w:val="3E76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4E1"/>
    <w:multiLevelType w:val="hybridMultilevel"/>
    <w:tmpl w:val="00AC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73727">
    <w:abstractNumId w:val="0"/>
  </w:num>
  <w:num w:numId="2" w16cid:durableId="1104881255">
    <w:abstractNumId w:val="4"/>
  </w:num>
  <w:num w:numId="3" w16cid:durableId="833060788">
    <w:abstractNumId w:val="3"/>
  </w:num>
  <w:num w:numId="4" w16cid:durableId="391392423">
    <w:abstractNumId w:val="5"/>
  </w:num>
  <w:num w:numId="5" w16cid:durableId="84036683">
    <w:abstractNumId w:val="2"/>
  </w:num>
  <w:num w:numId="6" w16cid:durableId="1401557385">
    <w:abstractNumId w:val="6"/>
  </w:num>
  <w:num w:numId="7" w16cid:durableId="1406416594">
    <w:abstractNumId w:val="8"/>
  </w:num>
  <w:num w:numId="8" w16cid:durableId="1491826433">
    <w:abstractNumId w:val="1"/>
  </w:num>
  <w:num w:numId="9" w16cid:durableId="1898393621">
    <w:abstractNumId w:val="9"/>
  </w:num>
  <w:num w:numId="10" w16cid:durableId="1424648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005686"/>
    <w:rsid w:val="00075916"/>
    <w:rsid w:val="000806DE"/>
    <w:rsid w:val="000F43B2"/>
    <w:rsid w:val="00103799"/>
    <w:rsid w:val="00156639"/>
    <w:rsid w:val="00183EC0"/>
    <w:rsid w:val="00282D6D"/>
    <w:rsid w:val="00285370"/>
    <w:rsid w:val="002E1197"/>
    <w:rsid w:val="0036326C"/>
    <w:rsid w:val="003E7C9A"/>
    <w:rsid w:val="00427D8F"/>
    <w:rsid w:val="004308A6"/>
    <w:rsid w:val="00437B42"/>
    <w:rsid w:val="004517F4"/>
    <w:rsid w:val="00464BDC"/>
    <w:rsid w:val="0047402C"/>
    <w:rsid w:val="0047619E"/>
    <w:rsid w:val="00482436"/>
    <w:rsid w:val="004913AC"/>
    <w:rsid w:val="004A33CB"/>
    <w:rsid w:val="004A6675"/>
    <w:rsid w:val="004C76F5"/>
    <w:rsid w:val="005759DD"/>
    <w:rsid w:val="005A03AB"/>
    <w:rsid w:val="005C55C5"/>
    <w:rsid w:val="006226E7"/>
    <w:rsid w:val="00632D73"/>
    <w:rsid w:val="00650C5D"/>
    <w:rsid w:val="00652A13"/>
    <w:rsid w:val="0068539C"/>
    <w:rsid w:val="006B7AED"/>
    <w:rsid w:val="006D0918"/>
    <w:rsid w:val="007A061C"/>
    <w:rsid w:val="00871514"/>
    <w:rsid w:val="008C3461"/>
    <w:rsid w:val="009429DF"/>
    <w:rsid w:val="00954FC1"/>
    <w:rsid w:val="00964475"/>
    <w:rsid w:val="009C3339"/>
    <w:rsid w:val="009C5959"/>
    <w:rsid w:val="009E6FD9"/>
    <w:rsid w:val="00A31804"/>
    <w:rsid w:val="00A52E69"/>
    <w:rsid w:val="00AD4C08"/>
    <w:rsid w:val="00AF193B"/>
    <w:rsid w:val="00B06F31"/>
    <w:rsid w:val="00B31992"/>
    <w:rsid w:val="00B54368"/>
    <w:rsid w:val="00B63C47"/>
    <w:rsid w:val="00B7732D"/>
    <w:rsid w:val="00C531A9"/>
    <w:rsid w:val="00C53BFA"/>
    <w:rsid w:val="00CF4EC0"/>
    <w:rsid w:val="00D07068"/>
    <w:rsid w:val="00D07D3F"/>
    <w:rsid w:val="00D41B4B"/>
    <w:rsid w:val="00D454E1"/>
    <w:rsid w:val="00D90A63"/>
    <w:rsid w:val="00D93E3B"/>
    <w:rsid w:val="00D94849"/>
    <w:rsid w:val="00E025BA"/>
    <w:rsid w:val="00E34FF8"/>
    <w:rsid w:val="00EB5759"/>
    <w:rsid w:val="00EC65CC"/>
    <w:rsid w:val="00ED1F7B"/>
    <w:rsid w:val="00EF79A0"/>
    <w:rsid w:val="00F1234F"/>
    <w:rsid w:val="00FA2EAB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2A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deyo@sedgwic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Deyo, David</cp:lastModifiedBy>
  <cp:revision>2</cp:revision>
  <cp:lastPrinted>2021-06-08T16:18:00Z</cp:lastPrinted>
  <dcterms:created xsi:type="dcterms:W3CDTF">2025-01-06T20:37:00Z</dcterms:created>
  <dcterms:modified xsi:type="dcterms:W3CDTF">2025-01-06T20:37:00Z</dcterms:modified>
</cp:coreProperties>
</file>