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8006" w14:textId="43A6D2AF" w:rsidR="00FD4B2C" w:rsidRPr="00E86C36" w:rsidRDefault="00FD4B2C" w:rsidP="008D70A3">
      <w:pPr>
        <w:ind w:left="720" w:firstLine="720"/>
        <w:rPr>
          <w:rFonts w:asciiTheme="minorHAnsi" w:hAnsiTheme="minorHAnsi" w:cstheme="minorHAnsi"/>
          <w:b/>
          <w:bCs/>
          <w:caps/>
        </w:rPr>
      </w:pPr>
      <w:r w:rsidRPr="00E86C36">
        <w:rPr>
          <w:rFonts w:asciiTheme="minorHAnsi" w:hAnsiTheme="minorHAnsi" w:cstheme="minorHAnsi"/>
          <w:b/>
          <w:bCs/>
          <w:caps/>
        </w:rPr>
        <w:t xml:space="preserve">What is the status of </w:t>
      </w:r>
      <w:r w:rsidR="003F7770">
        <w:rPr>
          <w:rFonts w:asciiTheme="minorHAnsi" w:hAnsiTheme="minorHAnsi" w:cstheme="minorHAnsi"/>
          <w:b/>
          <w:bCs/>
          <w:caps/>
        </w:rPr>
        <w:t>adult use cannabis</w:t>
      </w:r>
      <w:r w:rsidRPr="00E86C36">
        <w:rPr>
          <w:rFonts w:asciiTheme="minorHAnsi" w:hAnsiTheme="minorHAnsi" w:cstheme="minorHAnsi"/>
          <w:b/>
          <w:bCs/>
          <w:caps/>
        </w:rPr>
        <w:t xml:space="preserve"> in Ohio?</w:t>
      </w:r>
    </w:p>
    <w:p w14:paraId="1CCAF0E0" w14:textId="77777777" w:rsidR="003F7770" w:rsidRDefault="00FD4B2C" w:rsidP="00E86C36">
      <w:pPr>
        <w:jc w:val="both"/>
        <w:rPr>
          <w:rFonts w:asciiTheme="minorHAnsi" w:hAnsiTheme="minorHAnsi" w:cstheme="minorHAnsi"/>
        </w:rPr>
      </w:pPr>
      <w:r w:rsidRPr="00E86C36">
        <w:rPr>
          <w:rFonts w:asciiTheme="minorHAnsi" w:hAnsiTheme="minorHAnsi" w:cstheme="minorHAnsi"/>
        </w:rPr>
        <w:t>Adult use cannabis (commonly referred to recreational marijuana) was legalized on December 7, 2023</w:t>
      </w:r>
      <w:r w:rsidR="003F7770">
        <w:rPr>
          <w:rFonts w:asciiTheme="minorHAnsi" w:hAnsiTheme="minorHAnsi" w:cstheme="minorHAnsi"/>
        </w:rPr>
        <w:t>, and sales at the State’s 98 licensed dispensaries began on August 6, 2024</w:t>
      </w:r>
      <w:r w:rsidRPr="00E86C36">
        <w:rPr>
          <w:rFonts w:asciiTheme="minorHAnsi" w:hAnsiTheme="minorHAnsi" w:cstheme="minorHAnsi"/>
        </w:rPr>
        <w:t>.</w:t>
      </w:r>
      <w:r w:rsidR="003F7770">
        <w:rPr>
          <w:rFonts w:asciiTheme="minorHAnsi" w:hAnsiTheme="minorHAnsi" w:cstheme="minorHAnsi"/>
        </w:rPr>
        <w:t xml:space="preserve">  </w:t>
      </w:r>
    </w:p>
    <w:p w14:paraId="45DB101A" w14:textId="610DC2CB" w:rsidR="00FD4B2C" w:rsidRDefault="003F7770" w:rsidP="00E86C36">
      <w:pPr>
        <w:jc w:val="both"/>
        <w:rPr>
          <w:rFonts w:asciiTheme="minorHAnsi" w:hAnsiTheme="minorHAnsi" w:cstheme="minorHAnsi"/>
        </w:rPr>
      </w:pPr>
      <w:r>
        <w:rPr>
          <w:rFonts w:asciiTheme="minorHAnsi" w:hAnsiTheme="minorHAnsi" w:cstheme="minorHAnsi"/>
        </w:rPr>
        <w:t>Individuals must be 21 or over to use, purchase, or possess cannabis, and they may posses</w:t>
      </w:r>
      <w:r w:rsidR="00517A76">
        <w:rPr>
          <w:rFonts w:asciiTheme="minorHAnsi" w:hAnsiTheme="minorHAnsi" w:cstheme="minorHAnsi"/>
        </w:rPr>
        <w:t>s</w:t>
      </w:r>
      <w:r>
        <w:rPr>
          <w:rFonts w:asciiTheme="minorHAnsi" w:hAnsiTheme="minorHAnsi" w:cstheme="minorHAnsi"/>
        </w:rPr>
        <w:t xml:space="preserve"> up to 2.5 ounces and </w:t>
      </w:r>
      <w:r w:rsidR="0009071E">
        <w:rPr>
          <w:rFonts w:asciiTheme="minorHAnsi" w:hAnsiTheme="minorHAnsi" w:cstheme="minorHAnsi"/>
        </w:rPr>
        <w:t xml:space="preserve">generally may </w:t>
      </w:r>
      <w:r>
        <w:rPr>
          <w:rFonts w:asciiTheme="minorHAnsi" w:hAnsiTheme="minorHAnsi" w:cstheme="minorHAnsi"/>
        </w:rPr>
        <w:t>home-grow up to 6 plants (12 plants per household)</w:t>
      </w:r>
      <w:r w:rsidR="00FB75C2">
        <w:rPr>
          <w:rFonts w:asciiTheme="minorHAnsi" w:hAnsiTheme="minorHAnsi" w:cstheme="minorHAnsi"/>
        </w:rPr>
        <w:t xml:space="preserve"> at their primary residence</w:t>
      </w:r>
      <w:r>
        <w:rPr>
          <w:rFonts w:asciiTheme="minorHAnsi" w:hAnsiTheme="minorHAnsi" w:cstheme="minorHAnsi"/>
        </w:rPr>
        <w:t>.</w:t>
      </w:r>
    </w:p>
    <w:p w14:paraId="1FE3626E" w14:textId="01A7C765" w:rsidR="00B777F4" w:rsidRPr="00B777F4" w:rsidRDefault="00B777F4" w:rsidP="00E86C36">
      <w:pPr>
        <w:jc w:val="both"/>
        <w:rPr>
          <w:rFonts w:asciiTheme="minorHAnsi" w:hAnsiTheme="minorHAnsi" w:cstheme="minorHAnsi"/>
          <w:b/>
          <w:bCs/>
          <w:caps/>
        </w:rPr>
      </w:pPr>
      <w:r w:rsidRPr="00B777F4">
        <w:rPr>
          <w:rFonts w:asciiTheme="minorHAnsi" w:hAnsiTheme="minorHAnsi" w:cstheme="minorHAnsi"/>
          <w:b/>
          <w:bCs/>
          <w:caps/>
        </w:rPr>
        <w:t xml:space="preserve">What is the status of </w:t>
      </w:r>
      <w:r w:rsidR="00E46755">
        <w:rPr>
          <w:rFonts w:asciiTheme="minorHAnsi" w:hAnsiTheme="minorHAnsi" w:cstheme="minorHAnsi"/>
          <w:b/>
          <w:bCs/>
          <w:caps/>
        </w:rPr>
        <w:t xml:space="preserve">rescheduling </w:t>
      </w:r>
      <w:r w:rsidRPr="00B777F4">
        <w:rPr>
          <w:rFonts w:asciiTheme="minorHAnsi" w:hAnsiTheme="minorHAnsi" w:cstheme="minorHAnsi"/>
          <w:b/>
          <w:bCs/>
          <w:caps/>
        </w:rPr>
        <w:t>marijuana under federal law?</w:t>
      </w:r>
    </w:p>
    <w:p w14:paraId="39582345" w14:textId="572EB18B" w:rsidR="00E46755" w:rsidRDefault="00E46755" w:rsidP="00E46755">
      <w:pPr>
        <w:tabs>
          <w:tab w:val="num" w:pos="720"/>
        </w:tabs>
        <w:jc w:val="both"/>
        <w:rPr>
          <w:rFonts w:asciiTheme="minorHAnsi" w:hAnsiTheme="minorHAnsi" w:cstheme="minorHAnsi"/>
        </w:rPr>
      </w:pPr>
      <w:bookmarkStart w:id="0" w:name="_Hlk178711077"/>
      <w:r>
        <w:rPr>
          <w:rFonts w:asciiTheme="minorHAnsi" w:hAnsiTheme="minorHAnsi" w:cstheme="minorHAnsi"/>
        </w:rPr>
        <w:t>Marijuana remains illegal under federal law.</w:t>
      </w:r>
    </w:p>
    <w:bookmarkEnd w:id="0"/>
    <w:p w14:paraId="08E3A1A9" w14:textId="17D45E7A" w:rsidR="00B777F4" w:rsidRDefault="00B777F4" w:rsidP="00E46755">
      <w:pPr>
        <w:tabs>
          <w:tab w:val="num" w:pos="720"/>
        </w:tabs>
        <w:jc w:val="both"/>
        <w:rPr>
          <w:rFonts w:asciiTheme="minorHAnsi" w:hAnsiTheme="minorHAnsi" w:cstheme="minorHAnsi"/>
        </w:rPr>
      </w:pPr>
      <w:r>
        <w:rPr>
          <w:rFonts w:asciiTheme="minorHAnsi" w:hAnsiTheme="minorHAnsi" w:cstheme="minorHAnsi"/>
        </w:rPr>
        <w:t xml:space="preserve">In </w:t>
      </w:r>
      <w:r w:rsidRPr="00B777F4">
        <w:rPr>
          <w:rFonts w:asciiTheme="minorHAnsi" w:hAnsiTheme="minorHAnsi" w:cstheme="minorHAnsi"/>
        </w:rPr>
        <w:t>August 2023</w:t>
      </w:r>
      <w:r>
        <w:rPr>
          <w:rFonts w:asciiTheme="minorHAnsi" w:hAnsiTheme="minorHAnsi" w:cstheme="minorHAnsi"/>
        </w:rPr>
        <w:t xml:space="preserve">, the </w:t>
      </w:r>
      <w:r w:rsidRPr="00B777F4">
        <w:rPr>
          <w:rFonts w:asciiTheme="minorHAnsi" w:hAnsiTheme="minorHAnsi" w:cstheme="minorHAnsi"/>
        </w:rPr>
        <w:t>U.S. Department of Health and Human Services recommend</w:t>
      </w:r>
      <w:r>
        <w:rPr>
          <w:rFonts w:asciiTheme="minorHAnsi" w:hAnsiTheme="minorHAnsi" w:cstheme="minorHAnsi"/>
        </w:rPr>
        <w:t>ed</w:t>
      </w:r>
      <w:r w:rsidRPr="00B777F4">
        <w:rPr>
          <w:rFonts w:asciiTheme="minorHAnsi" w:hAnsiTheme="minorHAnsi" w:cstheme="minorHAnsi"/>
        </w:rPr>
        <w:t xml:space="preserve"> rescheduling marijuana from Schedule I to Schedule III in the Controlled Substances Act.</w:t>
      </w:r>
      <w:r w:rsidR="00E46755">
        <w:rPr>
          <w:rFonts w:asciiTheme="minorHAnsi" w:hAnsiTheme="minorHAnsi" w:cstheme="minorHAnsi"/>
        </w:rPr>
        <w:t xml:space="preserve">  In May </w:t>
      </w:r>
      <w:r w:rsidRPr="00B777F4">
        <w:rPr>
          <w:rFonts w:asciiTheme="minorHAnsi" w:hAnsiTheme="minorHAnsi" w:cstheme="minorHAnsi"/>
        </w:rPr>
        <w:t>2024</w:t>
      </w:r>
      <w:r w:rsidR="00E46755">
        <w:rPr>
          <w:rFonts w:asciiTheme="minorHAnsi" w:hAnsiTheme="minorHAnsi" w:cstheme="minorHAnsi"/>
        </w:rPr>
        <w:t xml:space="preserve">, the </w:t>
      </w:r>
      <w:r w:rsidRPr="00B777F4">
        <w:rPr>
          <w:rFonts w:asciiTheme="minorHAnsi" w:hAnsiTheme="minorHAnsi" w:cstheme="minorHAnsi"/>
        </w:rPr>
        <w:t>Department of Justice submit</w:t>
      </w:r>
      <w:r w:rsidR="00E46755">
        <w:rPr>
          <w:rFonts w:asciiTheme="minorHAnsi" w:hAnsiTheme="minorHAnsi" w:cstheme="minorHAnsi"/>
        </w:rPr>
        <w:t>ted a</w:t>
      </w:r>
      <w:r w:rsidRPr="00B777F4">
        <w:rPr>
          <w:rFonts w:asciiTheme="minorHAnsi" w:hAnsiTheme="minorHAnsi" w:cstheme="minorHAnsi"/>
        </w:rPr>
        <w:t xml:space="preserve"> notice of proposed rulemaking to initiate </w:t>
      </w:r>
      <w:r w:rsidR="00E46755">
        <w:rPr>
          <w:rFonts w:asciiTheme="minorHAnsi" w:hAnsiTheme="minorHAnsi" w:cstheme="minorHAnsi"/>
        </w:rPr>
        <w:t xml:space="preserve">the </w:t>
      </w:r>
      <w:r w:rsidRPr="00B777F4">
        <w:rPr>
          <w:rFonts w:asciiTheme="minorHAnsi" w:hAnsiTheme="minorHAnsi" w:cstheme="minorHAnsi"/>
        </w:rPr>
        <w:t>formal rulemaking process.</w:t>
      </w:r>
      <w:r w:rsidR="00E46755">
        <w:rPr>
          <w:rFonts w:asciiTheme="minorHAnsi" w:hAnsiTheme="minorHAnsi" w:cstheme="minorHAnsi"/>
        </w:rPr>
        <w:t xml:space="preserve">  By July 2024, the Department of Justice had received more than </w:t>
      </w:r>
      <w:r w:rsidRPr="00B777F4">
        <w:rPr>
          <w:rFonts w:asciiTheme="minorHAnsi" w:hAnsiTheme="minorHAnsi" w:cstheme="minorHAnsi"/>
        </w:rPr>
        <w:t>42,</w:t>
      </w:r>
      <w:r w:rsidR="00E46755">
        <w:rPr>
          <w:rFonts w:asciiTheme="minorHAnsi" w:hAnsiTheme="minorHAnsi" w:cstheme="minorHAnsi"/>
        </w:rPr>
        <w:t>000</w:t>
      </w:r>
      <w:r w:rsidRPr="00B777F4">
        <w:rPr>
          <w:rFonts w:asciiTheme="minorHAnsi" w:hAnsiTheme="minorHAnsi" w:cstheme="minorHAnsi"/>
        </w:rPr>
        <w:t xml:space="preserve"> comments on the proposed rule</w:t>
      </w:r>
      <w:r w:rsidR="00E46755">
        <w:rPr>
          <w:rFonts w:asciiTheme="minorHAnsi" w:hAnsiTheme="minorHAnsi" w:cstheme="minorHAnsi"/>
        </w:rPr>
        <w:t xml:space="preserve">, with </w:t>
      </w:r>
      <w:r w:rsidRPr="00B777F4">
        <w:rPr>
          <w:rFonts w:asciiTheme="minorHAnsi" w:hAnsiTheme="minorHAnsi" w:cstheme="minorHAnsi"/>
        </w:rPr>
        <w:t>69% support</w:t>
      </w:r>
      <w:r w:rsidR="00E46755">
        <w:rPr>
          <w:rFonts w:asciiTheme="minorHAnsi" w:hAnsiTheme="minorHAnsi" w:cstheme="minorHAnsi"/>
        </w:rPr>
        <w:t>ing</w:t>
      </w:r>
      <w:r w:rsidRPr="00B777F4">
        <w:rPr>
          <w:rFonts w:asciiTheme="minorHAnsi" w:hAnsiTheme="minorHAnsi" w:cstheme="minorHAnsi"/>
        </w:rPr>
        <w:t xml:space="preserve"> descheduling, decriminalizing, or legalizing marijuana federally. </w:t>
      </w:r>
      <w:r w:rsidR="00E46755">
        <w:rPr>
          <w:rFonts w:asciiTheme="minorHAnsi" w:hAnsiTheme="minorHAnsi" w:cstheme="minorHAnsi"/>
        </w:rPr>
        <w:t xml:space="preserve"> The Department of Justice’s Drug Enforcement Agency has scheduled a hearing to listen to expert testimony on December 2, 2024.</w:t>
      </w:r>
    </w:p>
    <w:p w14:paraId="3099ED28" w14:textId="7E76C8A1" w:rsidR="00B777F4" w:rsidRPr="00B777F4" w:rsidRDefault="00E46755" w:rsidP="00E46755">
      <w:pPr>
        <w:tabs>
          <w:tab w:val="num" w:pos="720"/>
        </w:tabs>
        <w:jc w:val="both"/>
        <w:rPr>
          <w:rFonts w:asciiTheme="minorHAnsi" w:hAnsiTheme="minorHAnsi" w:cstheme="minorHAnsi"/>
        </w:rPr>
      </w:pPr>
      <w:bookmarkStart w:id="1" w:name="_Hlk178711606"/>
      <w:r>
        <w:rPr>
          <w:rFonts w:asciiTheme="minorHAnsi" w:hAnsiTheme="minorHAnsi" w:cstheme="minorHAnsi"/>
        </w:rPr>
        <w:t xml:space="preserve">Rescheduling marijuana will affect only medical marijuana.  It will have no </w:t>
      </w:r>
      <w:r w:rsidR="00A401B3">
        <w:rPr>
          <w:rFonts w:asciiTheme="minorHAnsi" w:hAnsiTheme="minorHAnsi" w:cstheme="minorHAnsi"/>
        </w:rPr>
        <w:t>effect</w:t>
      </w:r>
      <w:r>
        <w:rPr>
          <w:rFonts w:asciiTheme="minorHAnsi" w:hAnsiTheme="minorHAnsi" w:cstheme="minorHAnsi"/>
        </w:rPr>
        <w:t xml:space="preserve"> on adult use/recreational cannabis, which will remain illegal under federal law. </w:t>
      </w:r>
      <w:bookmarkEnd w:id="1"/>
    </w:p>
    <w:p w14:paraId="53A730F4" w14:textId="092D83C4" w:rsidR="00FD4B2C" w:rsidRPr="00E86C36" w:rsidRDefault="00FD4B2C" w:rsidP="00E86C36">
      <w:pPr>
        <w:jc w:val="both"/>
        <w:rPr>
          <w:rFonts w:asciiTheme="minorHAnsi" w:hAnsiTheme="minorHAnsi" w:cstheme="minorHAnsi"/>
          <w:b/>
          <w:bCs/>
          <w:caps/>
        </w:rPr>
      </w:pPr>
      <w:r w:rsidRPr="00E86C36">
        <w:rPr>
          <w:rFonts w:asciiTheme="minorHAnsi" w:hAnsiTheme="minorHAnsi" w:cstheme="minorHAnsi"/>
          <w:b/>
          <w:bCs/>
          <w:caps/>
        </w:rPr>
        <w:t>Employment-Related Issues</w:t>
      </w:r>
    </w:p>
    <w:p w14:paraId="59682887" w14:textId="1AD04DB8" w:rsidR="00FD4B2C" w:rsidRPr="00E86C36" w:rsidRDefault="00FD4B2C" w:rsidP="00E86C36">
      <w:pPr>
        <w:jc w:val="both"/>
        <w:rPr>
          <w:rFonts w:asciiTheme="minorHAnsi" w:hAnsiTheme="minorHAnsi" w:cstheme="minorHAnsi"/>
          <w:b/>
          <w:bCs/>
        </w:rPr>
      </w:pPr>
      <w:r w:rsidRPr="00E86C36">
        <w:rPr>
          <w:rFonts w:asciiTheme="minorHAnsi" w:hAnsiTheme="minorHAnsi" w:cstheme="minorHAnsi"/>
          <w:b/>
          <w:bCs/>
        </w:rPr>
        <w:t>Does an employer have to permit or accommodate cannabis use?</w:t>
      </w:r>
    </w:p>
    <w:p w14:paraId="5390ACB3" w14:textId="207CE2E9" w:rsidR="00FD4B2C" w:rsidRPr="00E86C36" w:rsidRDefault="00FD4B2C" w:rsidP="00E86C36">
      <w:pPr>
        <w:jc w:val="both"/>
        <w:rPr>
          <w:rFonts w:asciiTheme="minorHAnsi" w:hAnsiTheme="minorHAnsi" w:cstheme="minorHAnsi"/>
        </w:rPr>
      </w:pPr>
      <w:r w:rsidRPr="00E86C36">
        <w:rPr>
          <w:rFonts w:asciiTheme="minorHAnsi" w:hAnsiTheme="minorHAnsi" w:cstheme="minorHAnsi"/>
        </w:rPr>
        <w:t>No. An employer is not required to permit or accommodate an employee’s use, possession, or distribution of cannabis.</w:t>
      </w:r>
    </w:p>
    <w:p w14:paraId="645F5964" w14:textId="530B596F" w:rsidR="00FD4B2C" w:rsidRPr="00E86C36" w:rsidRDefault="00FD4B2C" w:rsidP="00E86C36">
      <w:pPr>
        <w:jc w:val="both"/>
        <w:rPr>
          <w:rFonts w:asciiTheme="minorHAnsi" w:hAnsiTheme="minorHAnsi" w:cstheme="minorHAnsi"/>
          <w:b/>
          <w:bCs/>
        </w:rPr>
      </w:pPr>
      <w:r w:rsidRPr="00E86C36">
        <w:rPr>
          <w:rFonts w:asciiTheme="minorHAnsi" w:hAnsiTheme="minorHAnsi" w:cstheme="minorHAnsi"/>
          <w:b/>
          <w:bCs/>
        </w:rPr>
        <w:t>Can an employer refuse to hire a job applicant who is a cannabis user?  Can an employer fire or otherwise discipline an employee who is a cannabis user?</w:t>
      </w:r>
    </w:p>
    <w:p w14:paraId="7D08700B" w14:textId="1AB1C1F4" w:rsidR="00FD4B2C" w:rsidRPr="00E86C36" w:rsidRDefault="00FD4B2C" w:rsidP="00E86C36">
      <w:pPr>
        <w:jc w:val="both"/>
        <w:rPr>
          <w:rFonts w:asciiTheme="minorHAnsi" w:hAnsiTheme="minorHAnsi" w:cstheme="minorHAnsi"/>
        </w:rPr>
      </w:pPr>
      <w:r w:rsidRPr="00E86C36">
        <w:rPr>
          <w:rFonts w:asciiTheme="minorHAnsi" w:hAnsiTheme="minorHAnsi" w:cstheme="minorHAnsi"/>
        </w:rPr>
        <w:t>Yes. An employer may refuse to hire, discharge, discipline, or otherwise take an adverse employment action against a person with respect to hire, tenure, terms, conditions, or privileges of employment because of that person’s use, possession, or distribution of cannabis. </w:t>
      </w:r>
    </w:p>
    <w:p w14:paraId="2D905E3C" w14:textId="5D6C72BB" w:rsidR="00FD4B2C" w:rsidRPr="00E86C36" w:rsidRDefault="00FD4B2C" w:rsidP="00E86C36">
      <w:pPr>
        <w:jc w:val="both"/>
        <w:rPr>
          <w:rFonts w:asciiTheme="minorHAnsi" w:hAnsiTheme="minorHAnsi" w:cstheme="minorHAnsi"/>
          <w:b/>
          <w:bCs/>
        </w:rPr>
      </w:pPr>
      <w:r w:rsidRPr="00E86C36">
        <w:rPr>
          <w:rFonts w:asciiTheme="minorHAnsi" w:hAnsiTheme="minorHAnsi" w:cstheme="minorHAnsi"/>
          <w:b/>
          <w:bCs/>
        </w:rPr>
        <w:t>Can an employer fire or otherwise discipline an employee who uses cannabis off-duty?</w:t>
      </w:r>
    </w:p>
    <w:p w14:paraId="0367175B" w14:textId="10D5BEA9" w:rsidR="00FD4B2C" w:rsidRPr="00E86C36" w:rsidRDefault="00FD4B2C" w:rsidP="00E86C36">
      <w:pPr>
        <w:jc w:val="both"/>
        <w:rPr>
          <w:rFonts w:asciiTheme="minorHAnsi" w:hAnsiTheme="minorHAnsi" w:cstheme="minorHAnsi"/>
        </w:rPr>
      </w:pPr>
      <w:r w:rsidRPr="00E86C36">
        <w:rPr>
          <w:rFonts w:asciiTheme="minorHAnsi" w:hAnsiTheme="minorHAnsi" w:cstheme="minorHAnsi"/>
        </w:rPr>
        <w:t>Yes.  An employer may refuse to hire, discharge, discipline, or otherwise take an adverse employment action against a person with respect to hire, tenure, terms, conditions, or privileges of employment because of that person’s use, possession, or distribution of cannabis.</w:t>
      </w:r>
    </w:p>
    <w:p w14:paraId="64A9F0CB" w14:textId="47FDF299" w:rsidR="00FD4B2C" w:rsidRPr="00E86C36" w:rsidRDefault="00FD4B2C" w:rsidP="00E86C36">
      <w:pPr>
        <w:jc w:val="both"/>
        <w:rPr>
          <w:rFonts w:asciiTheme="minorHAnsi" w:hAnsiTheme="minorHAnsi" w:cstheme="minorHAnsi"/>
          <w:b/>
          <w:bCs/>
        </w:rPr>
      </w:pPr>
      <w:r w:rsidRPr="00E86C36">
        <w:rPr>
          <w:rFonts w:asciiTheme="minorHAnsi" w:hAnsiTheme="minorHAnsi" w:cstheme="minorHAnsi"/>
          <w:b/>
          <w:bCs/>
        </w:rPr>
        <w:t>Can an employer have a drug testing policy that tests job applicants and/or employees for cannabis?</w:t>
      </w:r>
    </w:p>
    <w:p w14:paraId="571AC940" w14:textId="4CE52C4E" w:rsidR="00FD4B2C" w:rsidRPr="00E86C36" w:rsidRDefault="00FD4B2C" w:rsidP="00E86C36">
      <w:pPr>
        <w:jc w:val="both"/>
        <w:rPr>
          <w:rFonts w:asciiTheme="minorHAnsi" w:hAnsiTheme="minorHAnsi" w:cstheme="minorHAnsi"/>
        </w:rPr>
      </w:pPr>
      <w:r w:rsidRPr="00E86C36">
        <w:rPr>
          <w:rFonts w:asciiTheme="minorHAnsi" w:hAnsiTheme="minorHAnsi" w:cstheme="minorHAnsi"/>
        </w:rPr>
        <w:lastRenderedPageBreak/>
        <w:t>Yes.  An employer may still establish and enforce a drug testing policy, drug-free workplace policy, or zero-tolerance drug policy. In addition, the Ohio Bureau of Workers’ Compensation may continue to grant rebates or discounts on premium rates to employers that participate in the Bureau’s drug-free workplace program.</w:t>
      </w:r>
    </w:p>
    <w:p w14:paraId="231C3112" w14:textId="7C01D0C1" w:rsidR="00480EDD" w:rsidRPr="00B27517" w:rsidRDefault="00480EDD" w:rsidP="00E86C36">
      <w:pPr>
        <w:jc w:val="both"/>
        <w:rPr>
          <w:rFonts w:asciiTheme="minorHAnsi" w:hAnsiTheme="minorHAnsi" w:cstheme="minorHAnsi"/>
          <w:b/>
          <w:bCs/>
        </w:rPr>
      </w:pPr>
      <w:r w:rsidRPr="00B27517">
        <w:rPr>
          <w:rFonts w:asciiTheme="minorHAnsi" w:hAnsiTheme="minorHAnsi" w:cstheme="minorHAnsi"/>
          <w:b/>
          <w:bCs/>
        </w:rPr>
        <w:t xml:space="preserve">Does legalizing adult use cannabis affect an employer’s ability or responsibility to drug test </w:t>
      </w:r>
      <w:r w:rsidR="00F53ED4">
        <w:rPr>
          <w:rFonts w:asciiTheme="minorHAnsi" w:hAnsiTheme="minorHAnsi" w:cstheme="minorHAnsi"/>
          <w:b/>
          <w:bCs/>
        </w:rPr>
        <w:t xml:space="preserve">employees who are </w:t>
      </w:r>
      <w:r w:rsidRPr="00B27517">
        <w:rPr>
          <w:rFonts w:asciiTheme="minorHAnsi" w:hAnsiTheme="minorHAnsi" w:cstheme="minorHAnsi"/>
          <w:b/>
          <w:bCs/>
        </w:rPr>
        <w:t>drivers?</w:t>
      </w:r>
    </w:p>
    <w:p w14:paraId="68E7BD34" w14:textId="34763772" w:rsidR="00480EDD" w:rsidRPr="00E86C36" w:rsidRDefault="00480EDD" w:rsidP="00E86C36">
      <w:pPr>
        <w:jc w:val="both"/>
        <w:rPr>
          <w:rFonts w:asciiTheme="minorHAnsi" w:hAnsiTheme="minorHAnsi" w:cstheme="minorHAnsi"/>
        </w:rPr>
      </w:pPr>
      <w:r w:rsidRPr="00E86C36">
        <w:rPr>
          <w:rFonts w:asciiTheme="minorHAnsi" w:hAnsiTheme="minorHAnsi" w:cstheme="minorHAnsi"/>
        </w:rPr>
        <w:t xml:space="preserve">No.  Job applicants and employees who are covered by federal restrictions on employment, such as the U.S. Department of Transportation regulations for commercial drivers, are governed by those regulations. This means that applicants and employees who hold a commercial driver’s license </w:t>
      </w:r>
      <w:r w:rsidRPr="00E86C36">
        <w:rPr>
          <w:rFonts w:asciiTheme="minorHAnsi" w:hAnsiTheme="minorHAnsi" w:cstheme="minorHAnsi"/>
          <w:u w:val="single"/>
        </w:rPr>
        <w:t>must</w:t>
      </w:r>
      <w:r w:rsidRPr="00E86C36">
        <w:rPr>
          <w:rFonts w:asciiTheme="minorHAnsi" w:hAnsiTheme="minorHAnsi" w:cstheme="minorHAnsi"/>
        </w:rPr>
        <w:t xml:space="preserve"> be tested for marijuana in accordance with the Department of Transportation’s regulations. </w:t>
      </w:r>
    </w:p>
    <w:p w14:paraId="6CE6B517" w14:textId="503834DC" w:rsidR="00A1284A" w:rsidRPr="00E86C36" w:rsidRDefault="00A1284A" w:rsidP="00E86C36">
      <w:pPr>
        <w:jc w:val="both"/>
        <w:rPr>
          <w:rFonts w:asciiTheme="minorHAnsi" w:hAnsiTheme="minorHAnsi" w:cstheme="minorHAnsi"/>
        </w:rPr>
      </w:pPr>
      <w:r w:rsidRPr="00E86C36">
        <w:rPr>
          <w:rFonts w:asciiTheme="minorHAnsi" w:hAnsiTheme="minorHAnsi" w:cstheme="minorHAnsi"/>
        </w:rPr>
        <w:t>An employer has discretion as to whether to subject other types of drivers (or other employees in safety-sensitive positions) to drug testing for cannabis.</w:t>
      </w:r>
    </w:p>
    <w:p w14:paraId="26538164" w14:textId="4B554105" w:rsidR="00790E03" w:rsidRPr="00E86C36" w:rsidRDefault="00790E03" w:rsidP="00E86C36">
      <w:pPr>
        <w:jc w:val="both"/>
        <w:rPr>
          <w:rFonts w:asciiTheme="minorHAnsi" w:hAnsiTheme="minorHAnsi" w:cstheme="minorHAnsi"/>
          <w:b/>
          <w:bCs/>
        </w:rPr>
      </w:pPr>
      <w:r w:rsidRPr="00E86C36">
        <w:rPr>
          <w:rFonts w:asciiTheme="minorHAnsi" w:hAnsiTheme="minorHAnsi" w:cstheme="minorHAnsi"/>
          <w:b/>
          <w:bCs/>
        </w:rPr>
        <w:t>If an employee is terminated for cannabis use, will that affect their eligibility for unemployment compensation benefits?</w:t>
      </w:r>
    </w:p>
    <w:p w14:paraId="0CA21B36" w14:textId="3B21B240" w:rsidR="00790E03" w:rsidRDefault="00790E03" w:rsidP="00E86C36">
      <w:pPr>
        <w:tabs>
          <w:tab w:val="num" w:pos="1440"/>
        </w:tabs>
        <w:jc w:val="both"/>
        <w:rPr>
          <w:rFonts w:asciiTheme="minorHAnsi" w:hAnsiTheme="minorHAnsi" w:cstheme="minorHAnsi"/>
        </w:rPr>
      </w:pPr>
      <w:r w:rsidRPr="00E86C36">
        <w:rPr>
          <w:rFonts w:asciiTheme="minorHAnsi" w:hAnsiTheme="minorHAnsi" w:cstheme="minorHAnsi"/>
        </w:rPr>
        <w:t xml:space="preserve">Yes.  </w:t>
      </w:r>
      <w:r w:rsidRPr="00790E03">
        <w:rPr>
          <w:rFonts w:asciiTheme="minorHAnsi" w:hAnsiTheme="minorHAnsi" w:cstheme="minorHAnsi"/>
        </w:rPr>
        <w:t>A person who is terminated because they used cannabis is considered to have been discharged for “just cause” under the Unemployment Compensation Law if that use violated</w:t>
      </w:r>
      <w:r w:rsidRPr="00E86C36">
        <w:rPr>
          <w:rFonts w:asciiTheme="minorHAnsi" w:hAnsiTheme="minorHAnsi" w:cstheme="minorHAnsi"/>
        </w:rPr>
        <w:t xml:space="preserve"> their </w:t>
      </w:r>
      <w:r w:rsidRPr="00790E03">
        <w:rPr>
          <w:rFonts w:asciiTheme="minorHAnsi" w:hAnsiTheme="minorHAnsi" w:cstheme="minorHAnsi"/>
        </w:rPr>
        <w:t>employer’s drug-free workplace policy</w:t>
      </w:r>
      <w:r w:rsidRPr="00E86C36">
        <w:rPr>
          <w:rFonts w:asciiTheme="minorHAnsi" w:hAnsiTheme="minorHAnsi" w:cstheme="minorHAnsi"/>
        </w:rPr>
        <w:t xml:space="preserve">, </w:t>
      </w:r>
      <w:r w:rsidRPr="00790E03">
        <w:rPr>
          <w:rFonts w:asciiTheme="minorHAnsi" w:hAnsiTheme="minorHAnsi" w:cstheme="minorHAnsi"/>
        </w:rPr>
        <w:t>zero-tolerance policy</w:t>
      </w:r>
      <w:r w:rsidRPr="00E86C36">
        <w:rPr>
          <w:rFonts w:asciiTheme="minorHAnsi" w:hAnsiTheme="minorHAnsi" w:cstheme="minorHAnsi"/>
        </w:rPr>
        <w:t xml:space="preserve">, or </w:t>
      </w:r>
      <w:r w:rsidRPr="00790E03">
        <w:rPr>
          <w:rFonts w:asciiTheme="minorHAnsi" w:hAnsiTheme="minorHAnsi" w:cstheme="minorHAnsi"/>
        </w:rPr>
        <w:t>other formal program or policy regulating cannabis use. </w:t>
      </w:r>
      <w:r w:rsidRPr="00E86C36">
        <w:rPr>
          <w:rFonts w:asciiTheme="minorHAnsi" w:hAnsiTheme="minorHAnsi" w:cstheme="minorHAnsi"/>
        </w:rPr>
        <w:t xml:space="preserve"> The person is ineligible to serve a waiting week or receive unemployment benefits for the duration of unemployment.</w:t>
      </w:r>
    </w:p>
    <w:p w14:paraId="2F0D2A06" w14:textId="0F873786" w:rsidR="00966EAB" w:rsidRPr="00E86C36" w:rsidRDefault="00966EAB" w:rsidP="00966EAB">
      <w:pPr>
        <w:jc w:val="both"/>
        <w:rPr>
          <w:rFonts w:asciiTheme="minorHAnsi" w:hAnsiTheme="minorHAnsi" w:cstheme="minorHAnsi"/>
          <w:b/>
          <w:bCs/>
        </w:rPr>
      </w:pPr>
      <w:r>
        <w:rPr>
          <w:rFonts w:asciiTheme="minorHAnsi" w:hAnsiTheme="minorHAnsi" w:cstheme="minorHAnsi"/>
          <w:b/>
          <w:bCs/>
        </w:rPr>
        <w:t>Can an employer test employees for cannabis use that are in different job categories/classifications/positions differently?</w:t>
      </w:r>
    </w:p>
    <w:p w14:paraId="04E930FD" w14:textId="63E38114" w:rsidR="00966EAB" w:rsidRDefault="00966EAB" w:rsidP="00966EAB">
      <w:pPr>
        <w:tabs>
          <w:tab w:val="num" w:pos="1440"/>
        </w:tabs>
        <w:jc w:val="both"/>
        <w:rPr>
          <w:rFonts w:asciiTheme="minorHAnsi" w:hAnsiTheme="minorHAnsi" w:cstheme="minorHAnsi"/>
        </w:rPr>
      </w:pPr>
      <w:r w:rsidRPr="00E86C36">
        <w:rPr>
          <w:rFonts w:asciiTheme="minorHAnsi" w:hAnsiTheme="minorHAnsi" w:cstheme="minorHAnsi"/>
        </w:rPr>
        <w:t xml:space="preserve">Yes.  </w:t>
      </w:r>
      <w:r>
        <w:rPr>
          <w:rFonts w:asciiTheme="minorHAnsi" w:hAnsiTheme="minorHAnsi" w:cstheme="minorHAnsi"/>
        </w:rPr>
        <w:t xml:space="preserve">An employer can implement different drug testing requirements, including having different drugs included on the drug panels, based on position or classification.  </w:t>
      </w:r>
      <w:r w:rsidR="00053E19">
        <w:rPr>
          <w:rFonts w:asciiTheme="minorHAnsi" w:hAnsiTheme="minorHAnsi" w:cstheme="minorHAnsi"/>
        </w:rPr>
        <w:t xml:space="preserve">An employer is not required to test all applicants or all employees.  </w:t>
      </w:r>
      <w:r>
        <w:rPr>
          <w:rFonts w:asciiTheme="minorHAnsi" w:hAnsiTheme="minorHAnsi" w:cstheme="minorHAnsi"/>
        </w:rPr>
        <w:t xml:space="preserve">For example, an employer may </w:t>
      </w:r>
      <w:r w:rsidR="00053E19">
        <w:rPr>
          <w:rFonts w:asciiTheme="minorHAnsi" w:hAnsiTheme="minorHAnsi" w:cstheme="minorHAnsi"/>
        </w:rPr>
        <w:t xml:space="preserve">decide to use </w:t>
      </w:r>
      <w:r>
        <w:rPr>
          <w:rFonts w:asciiTheme="minorHAnsi" w:hAnsiTheme="minorHAnsi" w:cstheme="minorHAnsi"/>
        </w:rPr>
        <w:t xml:space="preserve">pre-employment testing for cannabis (and/or for other drugs) only for employees who are drivers, who may be operating machinery or power tools, or who are working in safety sensitive positions as defined by the employer.  </w:t>
      </w:r>
    </w:p>
    <w:p w14:paraId="7B059C0E" w14:textId="5505B42D" w:rsidR="00541D89" w:rsidRPr="00541D89" w:rsidRDefault="00541D89" w:rsidP="00966EAB">
      <w:pPr>
        <w:tabs>
          <w:tab w:val="num" w:pos="1440"/>
        </w:tabs>
        <w:jc w:val="both"/>
        <w:rPr>
          <w:rFonts w:asciiTheme="minorHAnsi" w:hAnsiTheme="minorHAnsi" w:cstheme="minorHAnsi"/>
          <w:b/>
          <w:bCs/>
        </w:rPr>
      </w:pPr>
      <w:r w:rsidRPr="00541D89">
        <w:rPr>
          <w:rFonts w:asciiTheme="minorHAnsi" w:hAnsiTheme="minorHAnsi" w:cstheme="minorHAnsi"/>
          <w:b/>
          <w:bCs/>
        </w:rPr>
        <w:t>Can an employer hold employees to its workplace drug and alcohol policies when the employee performs services or works outside of Ohio?</w:t>
      </w:r>
    </w:p>
    <w:p w14:paraId="1F5F753F" w14:textId="175FB478" w:rsidR="00541D89" w:rsidRDefault="00541D89" w:rsidP="00966EAB">
      <w:pPr>
        <w:tabs>
          <w:tab w:val="num" w:pos="1440"/>
        </w:tabs>
        <w:jc w:val="both"/>
        <w:rPr>
          <w:rFonts w:asciiTheme="minorHAnsi" w:hAnsiTheme="minorHAnsi" w:cstheme="minorHAnsi"/>
        </w:rPr>
      </w:pPr>
      <w:r>
        <w:rPr>
          <w:rFonts w:asciiTheme="minorHAnsi" w:hAnsiTheme="minorHAnsi" w:cstheme="minorHAnsi"/>
        </w:rPr>
        <w:t>Yes. Regardless of another state’s laws concerning cannabis use and possession, the employee can be held to the employer’s drug and alcohol policy during working time.  In addition, the employee can be held to the consequences of their actions for using cannabis in another state outside of working time depending on how the employer’s drug and alcohol policy is written.</w:t>
      </w:r>
    </w:p>
    <w:p w14:paraId="4928E44F" w14:textId="77777777" w:rsidR="00541D89" w:rsidRDefault="00541D89" w:rsidP="00966EAB">
      <w:pPr>
        <w:tabs>
          <w:tab w:val="num" w:pos="1440"/>
        </w:tabs>
        <w:jc w:val="both"/>
        <w:rPr>
          <w:rFonts w:asciiTheme="minorHAnsi" w:hAnsiTheme="minorHAnsi" w:cstheme="minorHAnsi"/>
        </w:rPr>
      </w:pPr>
    </w:p>
    <w:p w14:paraId="70D4AD88" w14:textId="603B73AE" w:rsidR="00FD4B2C" w:rsidRPr="00E86C36" w:rsidRDefault="00480EDD" w:rsidP="00E86C36">
      <w:pPr>
        <w:jc w:val="both"/>
        <w:rPr>
          <w:rFonts w:asciiTheme="minorHAnsi" w:hAnsiTheme="minorHAnsi" w:cstheme="minorHAnsi"/>
          <w:b/>
          <w:bCs/>
        </w:rPr>
      </w:pPr>
      <w:r w:rsidRPr="00E86C36">
        <w:rPr>
          <w:rFonts w:asciiTheme="minorHAnsi" w:hAnsiTheme="minorHAnsi" w:cstheme="minorHAnsi"/>
          <w:b/>
          <w:bCs/>
        </w:rPr>
        <w:lastRenderedPageBreak/>
        <w:t xml:space="preserve">PROVIDER </w:t>
      </w:r>
      <w:r w:rsidR="00F25BA0">
        <w:rPr>
          <w:rFonts w:asciiTheme="minorHAnsi" w:hAnsiTheme="minorHAnsi" w:cstheme="minorHAnsi"/>
          <w:b/>
          <w:bCs/>
        </w:rPr>
        <w:t xml:space="preserve">LANDLORD-TENANT </w:t>
      </w:r>
      <w:r w:rsidRPr="00E86C36">
        <w:rPr>
          <w:rFonts w:asciiTheme="minorHAnsi" w:hAnsiTheme="minorHAnsi" w:cstheme="minorHAnsi"/>
          <w:b/>
          <w:bCs/>
        </w:rPr>
        <w:t>ISSUES</w:t>
      </w:r>
    </w:p>
    <w:p w14:paraId="6C67F0F1" w14:textId="0DFB679F" w:rsidR="00FD4B2C" w:rsidRPr="00B777F4" w:rsidRDefault="00B777F4" w:rsidP="00E86C36">
      <w:pPr>
        <w:jc w:val="both"/>
        <w:rPr>
          <w:rFonts w:asciiTheme="minorHAnsi" w:hAnsiTheme="minorHAnsi" w:cstheme="minorHAnsi"/>
          <w:b/>
          <w:bCs/>
        </w:rPr>
      </w:pPr>
      <w:r w:rsidRPr="00B777F4">
        <w:rPr>
          <w:rFonts w:asciiTheme="minorHAnsi" w:hAnsiTheme="minorHAnsi" w:cstheme="minorHAnsi"/>
          <w:b/>
          <w:bCs/>
        </w:rPr>
        <w:t xml:space="preserve">Does Ohio permit </w:t>
      </w:r>
      <w:r w:rsidR="00AE786A">
        <w:rPr>
          <w:rFonts w:asciiTheme="minorHAnsi" w:hAnsiTheme="minorHAnsi" w:cstheme="minorHAnsi"/>
          <w:b/>
          <w:bCs/>
        </w:rPr>
        <w:t>adults</w:t>
      </w:r>
      <w:r w:rsidRPr="00B777F4">
        <w:rPr>
          <w:rFonts w:asciiTheme="minorHAnsi" w:hAnsiTheme="minorHAnsi" w:cstheme="minorHAnsi"/>
          <w:b/>
          <w:bCs/>
        </w:rPr>
        <w:t xml:space="preserve"> to home-grow cannabis?</w:t>
      </w:r>
    </w:p>
    <w:p w14:paraId="624FFC3B" w14:textId="31BE3DD2" w:rsidR="00B777F4" w:rsidRDefault="00B777F4" w:rsidP="00E86C36">
      <w:pPr>
        <w:jc w:val="both"/>
        <w:rPr>
          <w:rFonts w:asciiTheme="minorHAnsi" w:hAnsiTheme="minorHAnsi" w:cstheme="minorHAnsi"/>
        </w:rPr>
      </w:pPr>
      <w:r>
        <w:rPr>
          <w:rFonts w:asciiTheme="minorHAnsi" w:hAnsiTheme="minorHAnsi" w:cstheme="minorHAnsi"/>
        </w:rPr>
        <w:t>Yes.</w:t>
      </w:r>
      <w:r w:rsidR="00AE786A">
        <w:rPr>
          <w:rFonts w:asciiTheme="minorHAnsi" w:hAnsiTheme="minorHAnsi" w:cstheme="minorHAnsi"/>
        </w:rPr>
        <w:t xml:space="preserve">  An adult may group up to 6 plants (12 plants per household)</w:t>
      </w:r>
      <w:r w:rsidR="00FB75C2">
        <w:rPr>
          <w:rFonts w:asciiTheme="minorHAnsi" w:hAnsiTheme="minorHAnsi" w:cstheme="minorHAnsi"/>
        </w:rPr>
        <w:t xml:space="preserve"> at their primary residence</w:t>
      </w:r>
      <w:r w:rsidR="00AE786A">
        <w:rPr>
          <w:rFonts w:asciiTheme="minorHAnsi" w:hAnsiTheme="minorHAnsi" w:cstheme="minorHAnsi"/>
        </w:rPr>
        <w:t>.</w:t>
      </w:r>
    </w:p>
    <w:p w14:paraId="1DA43630" w14:textId="7EA4632C" w:rsidR="00F25BA0" w:rsidRPr="00F25BA0" w:rsidRDefault="00F25BA0" w:rsidP="00E86C36">
      <w:pPr>
        <w:jc w:val="both"/>
        <w:rPr>
          <w:rFonts w:asciiTheme="minorHAnsi" w:hAnsiTheme="minorHAnsi" w:cstheme="minorHAnsi"/>
          <w:b/>
          <w:bCs/>
        </w:rPr>
      </w:pPr>
      <w:r w:rsidRPr="00F25BA0">
        <w:rPr>
          <w:rFonts w:asciiTheme="minorHAnsi" w:hAnsiTheme="minorHAnsi" w:cstheme="minorHAnsi"/>
          <w:b/>
          <w:bCs/>
        </w:rPr>
        <w:t>Can a person who uses cannabis be rejected as a tenant because of such use?</w:t>
      </w:r>
    </w:p>
    <w:p w14:paraId="31DD135F" w14:textId="4066D434" w:rsidR="00F25BA0" w:rsidRPr="00E86C36" w:rsidRDefault="00F25BA0" w:rsidP="00E86C36">
      <w:pPr>
        <w:jc w:val="both"/>
        <w:rPr>
          <w:rFonts w:asciiTheme="minorHAnsi" w:hAnsiTheme="minorHAnsi" w:cstheme="minorHAnsi"/>
        </w:rPr>
      </w:pPr>
      <w:r>
        <w:rPr>
          <w:rFonts w:asciiTheme="minorHAnsi" w:hAnsiTheme="minorHAnsi" w:cstheme="minorHAnsi"/>
        </w:rPr>
        <w:t>No.  A</w:t>
      </w:r>
      <w:r w:rsidRPr="00E86C36">
        <w:rPr>
          <w:rFonts w:asciiTheme="minorHAnsi" w:hAnsiTheme="minorHAnsi" w:cstheme="minorHAnsi"/>
        </w:rPr>
        <w:t xml:space="preserve">n individual's status as an adult use consumer </w:t>
      </w:r>
      <w:r>
        <w:rPr>
          <w:rFonts w:asciiTheme="minorHAnsi" w:hAnsiTheme="minorHAnsi" w:cstheme="minorHAnsi"/>
        </w:rPr>
        <w:t>may</w:t>
      </w:r>
      <w:r w:rsidRPr="00E86C36">
        <w:rPr>
          <w:rFonts w:asciiTheme="minorHAnsi" w:hAnsiTheme="minorHAnsi" w:cstheme="minorHAnsi"/>
        </w:rPr>
        <w:t xml:space="preserve"> not be used as the sole or primary basis for rejecting the individual as a tenant unless the rejection is required by federal law.</w:t>
      </w:r>
    </w:p>
    <w:p w14:paraId="2F8DDD46" w14:textId="3E510E92" w:rsidR="00FD4B2C" w:rsidRPr="00B777F4" w:rsidRDefault="00B777F4" w:rsidP="00E86C36">
      <w:pPr>
        <w:jc w:val="both"/>
        <w:rPr>
          <w:rFonts w:asciiTheme="minorHAnsi" w:hAnsiTheme="minorHAnsi" w:cstheme="minorHAnsi"/>
          <w:b/>
          <w:bCs/>
        </w:rPr>
      </w:pPr>
      <w:r w:rsidRPr="00B777F4">
        <w:rPr>
          <w:rFonts w:asciiTheme="minorHAnsi" w:hAnsiTheme="minorHAnsi" w:cstheme="minorHAnsi"/>
          <w:b/>
          <w:bCs/>
        </w:rPr>
        <w:t>Can a provider restrict its residents from using, possessing, or growing cannabis?</w:t>
      </w:r>
    </w:p>
    <w:p w14:paraId="5E025C2A" w14:textId="69802225" w:rsidR="00F25BA0" w:rsidRPr="00F25BA0" w:rsidRDefault="00AB2D28" w:rsidP="00F25BA0">
      <w:pPr>
        <w:jc w:val="both"/>
        <w:rPr>
          <w:rFonts w:asciiTheme="minorHAnsi" w:hAnsiTheme="minorHAnsi" w:cstheme="minorHAnsi"/>
        </w:rPr>
      </w:pPr>
      <w:r>
        <w:rPr>
          <w:rFonts w:asciiTheme="minorHAnsi" w:hAnsiTheme="minorHAnsi" w:cstheme="minorHAnsi"/>
        </w:rPr>
        <w:t>Y</w:t>
      </w:r>
      <w:r w:rsidR="00FB75C2" w:rsidRPr="00FB75C2">
        <w:rPr>
          <w:rFonts w:asciiTheme="minorHAnsi" w:hAnsiTheme="minorHAnsi" w:cstheme="minorHAnsi"/>
        </w:rPr>
        <w:t>es</w:t>
      </w:r>
      <w:r w:rsidR="00FB75C2">
        <w:rPr>
          <w:rFonts w:asciiTheme="minorHAnsi" w:hAnsiTheme="minorHAnsi" w:cstheme="minorHAnsi"/>
        </w:rPr>
        <w:t xml:space="preserve">. </w:t>
      </w:r>
      <w:r w:rsidR="00F25BA0">
        <w:rPr>
          <w:rFonts w:asciiTheme="minorHAnsi" w:hAnsiTheme="minorHAnsi" w:cstheme="minorHAnsi"/>
        </w:rPr>
        <w:t>A l</w:t>
      </w:r>
      <w:r w:rsidR="00F25BA0" w:rsidRPr="00E86C36">
        <w:rPr>
          <w:rFonts w:asciiTheme="minorHAnsi" w:hAnsiTheme="minorHAnsi" w:cstheme="minorHAnsi"/>
        </w:rPr>
        <w:t xml:space="preserve">andlord may prohibit </w:t>
      </w:r>
      <w:r w:rsidR="00F25BA0">
        <w:rPr>
          <w:rFonts w:asciiTheme="minorHAnsi" w:hAnsiTheme="minorHAnsi" w:cstheme="minorHAnsi"/>
        </w:rPr>
        <w:t xml:space="preserve">cannabis </w:t>
      </w:r>
      <w:r w:rsidR="00F25BA0" w:rsidRPr="00E86C36">
        <w:rPr>
          <w:rFonts w:asciiTheme="minorHAnsi" w:hAnsiTheme="minorHAnsi" w:cstheme="minorHAnsi"/>
        </w:rPr>
        <w:t>cultivation, growth, and possession</w:t>
      </w:r>
      <w:r w:rsidR="00F25BA0">
        <w:rPr>
          <w:rFonts w:asciiTheme="minorHAnsi" w:hAnsiTheme="minorHAnsi" w:cstheme="minorHAnsi"/>
        </w:rPr>
        <w:t xml:space="preserve"> </w:t>
      </w:r>
      <w:r w:rsidR="00F25BA0" w:rsidRPr="00F25BA0">
        <w:rPr>
          <w:rFonts w:asciiTheme="minorHAnsi" w:hAnsiTheme="minorHAnsi" w:cstheme="minorHAnsi"/>
        </w:rPr>
        <w:t xml:space="preserve">so long as such prohibition is included in the applicable lease agreement.  </w:t>
      </w:r>
    </w:p>
    <w:p w14:paraId="6612A3B2" w14:textId="4D63158F" w:rsidR="00F25BA0" w:rsidRPr="00F25BA0" w:rsidRDefault="00F25BA0" w:rsidP="00F25BA0">
      <w:pPr>
        <w:jc w:val="both"/>
        <w:rPr>
          <w:rFonts w:asciiTheme="minorHAnsi" w:hAnsiTheme="minorHAnsi" w:cstheme="minorHAnsi"/>
        </w:rPr>
      </w:pPr>
      <w:r w:rsidRPr="00F25BA0">
        <w:rPr>
          <w:rFonts w:asciiTheme="minorHAnsi" w:hAnsiTheme="minorHAnsi" w:cstheme="minorHAnsi"/>
        </w:rPr>
        <w:t>In addition, a landlord may prohibit the consumption of cannabis by combustion so long as such prohibition is included in the applicable lease agreement.</w:t>
      </w:r>
    </w:p>
    <w:p w14:paraId="22A9C89F" w14:textId="37EF3B13" w:rsidR="00F25BA0" w:rsidRDefault="00AB2D28" w:rsidP="00AE786A">
      <w:pPr>
        <w:jc w:val="both"/>
        <w:rPr>
          <w:rFonts w:asciiTheme="minorHAnsi" w:hAnsiTheme="minorHAnsi" w:cstheme="minorHAnsi"/>
          <w:b/>
          <w:bCs/>
        </w:rPr>
      </w:pPr>
      <w:r w:rsidRPr="00C24F3F">
        <w:rPr>
          <w:rFonts w:asciiTheme="minorHAnsi" w:hAnsiTheme="minorHAnsi" w:cstheme="minorHAnsi"/>
          <w:b/>
          <w:bCs/>
        </w:rPr>
        <w:t>PROVIDER SERVICE ISSUES</w:t>
      </w:r>
    </w:p>
    <w:p w14:paraId="67B2070C" w14:textId="21FFADE8" w:rsidR="00E01BCD" w:rsidRPr="00D05186" w:rsidRDefault="00E01BCD" w:rsidP="00AB2D28">
      <w:pPr>
        <w:jc w:val="both"/>
        <w:rPr>
          <w:rFonts w:asciiTheme="minorHAnsi" w:hAnsiTheme="minorHAnsi" w:cstheme="minorHAnsi"/>
          <w:b/>
          <w:bCs/>
        </w:rPr>
      </w:pPr>
      <w:r w:rsidRPr="00D05186">
        <w:rPr>
          <w:rFonts w:asciiTheme="minorHAnsi" w:hAnsiTheme="minorHAnsi" w:cstheme="minorHAnsi"/>
          <w:b/>
          <w:bCs/>
        </w:rPr>
        <w:t xml:space="preserve">What should providers do when the people they serve want to use, possess, or grow </w:t>
      </w:r>
      <w:r w:rsidR="00AB2D28" w:rsidRPr="00D05186">
        <w:rPr>
          <w:rFonts w:asciiTheme="minorHAnsi" w:hAnsiTheme="minorHAnsi" w:cstheme="minorHAnsi"/>
          <w:b/>
          <w:bCs/>
        </w:rPr>
        <w:t>cannabis</w:t>
      </w:r>
      <w:r w:rsidRPr="00D05186">
        <w:rPr>
          <w:rFonts w:asciiTheme="minorHAnsi" w:hAnsiTheme="minorHAnsi" w:cstheme="minorHAnsi"/>
          <w:b/>
          <w:bCs/>
        </w:rPr>
        <w:t>?</w:t>
      </w:r>
    </w:p>
    <w:p w14:paraId="22BC0223" w14:textId="2A317849" w:rsidR="00D05186" w:rsidRPr="00DF3B00" w:rsidRDefault="00DF3B00" w:rsidP="00D05186">
      <w:pPr>
        <w:jc w:val="both"/>
        <w:rPr>
          <w:rFonts w:asciiTheme="minorHAnsi" w:hAnsiTheme="minorHAnsi" w:cstheme="minorHAnsi"/>
        </w:rPr>
      </w:pPr>
      <w:r>
        <w:rPr>
          <w:rFonts w:asciiTheme="minorHAnsi" w:hAnsiTheme="minorHAnsi" w:cstheme="minorHAnsi"/>
        </w:rPr>
        <w:t>The Ohio Department of Developmental Disabilities’ (DODD)</w:t>
      </w:r>
      <w:r w:rsidR="00D05186" w:rsidRPr="00E5412B">
        <w:rPr>
          <w:rFonts w:asciiTheme="minorHAnsi" w:hAnsiTheme="minorHAnsi" w:cstheme="minorHAnsi"/>
        </w:rPr>
        <w:t xml:space="preserve"> stance is that marijuana</w:t>
      </w:r>
      <w:r w:rsidR="00C21E91">
        <w:rPr>
          <w:rFonts w:asciiTheme="minorHAnsi" w:hAnsiTheme="minorHAnsi" w:cstheme="minorHAnsi"/>
        </w:rPr>
        <w:t>/cannabis</w:t>
      </w:r>
      <w:r w:rsidR="00D05186" w:rsidRPr="00E5412B">
        <w:rPr>
          <w:rFonts w:asciiTheme="minorHAnsi" w:hAnsiTheme="minorHAnsi" w:cstheme="minorHAnsi"/>
        </w:rPr>
        <w:t xml:space="preserve"> remains illegal under federal law</w:t>
      </w:r>
      <w:r>
        <w:rPr>
          <w:rFonts w:asciiTheme="minorHAnsi" w:hAnsiTheme="minorHAnsi" w:cstheme="minorHAnsi"/>
        </w:rPr>
        <w:t>,</w:t>
      </w:r>
      <w:r w:rsidR="00D05186" w:rsidRPr="00E5412B">
        <w:rPr>
          <w:rFonts w:asciiTheme="minorHAnsi" w:hAnsiTheme="minorHAnsi" w:cstheme="minorHAnsi"/>
        </w:rPr>
        <w:t xml:space="preserve"> and </w:t>
      </w:r>
      <w:r w:rsidR="00C21E91">
        <w:rPr>
          <w:rFonts w:asciiTheme="minorHAnsi" w:hAnsiTheme="minorHAnsi" w:cstheme="minorHAnsi"/>
        </w:rPr>
        <w:t xml:space="preserve">therefore </w:t>
      </w:r>
      <w:r w:rsidR="00D05186" w:rsidRPr="00E5412B">
        <w:rPr>
          <w:rFonts w:asciiTheme="minorHAnsi" w:hAnsiTheme="minorHAnsi" w:cstheme="minorHAnsi"/>
        </w:rPr>
        <w:t>providers should not be involved with anyone’s use, possession</w:t>
      </w:r>
      <w:r w:rsidR="00C21E91">
        <w:rPr>
          <w:rFonts w:asciiTheme="minorHAnsi" w:hAnsiTheme="minorHAnsi" w:cstheme="minorHAnsi"/>
        </w:rPr>
        <w:t>,</w:t>
      </w:r>
      <w:r w:rsidR="00D05186" w:rsidRPr="00E5412B">
        <w:rPr>
          <w:rFonts w:asciiTheme="minorHAnsi" w:hAnsiTheme="minorHAnsi" w:cstheme="minorHAnsi"/>
        </w:rPr>
        <w:t xml:space="preserve"> or growth of cannabis.  According to DODD, they will </w:t>
      </w:r>
      <w:r w:rsidR="00D05186" w:rsidRPr="00807C56">
        <w:rPr>
          <w:rFonts w:asciiTheme="minorHAnsi" w:hAnsiTheme="minorHAnsi" w:cstheme="minorHAnsi"/>
          <w:u w:val="single"/>
        </w:rPr>
        <w:t>not</w:t>
      </w:r>
      <w:r w:rsidR="00D05186" w:rsidRPr="00E5412B">
        <w:rPr>
          <w:rFonts w:asciiTheme="minorHAnsi" w:hAnsiTheme="minorHAnsi" w:cstheme="minorHAnsi"/>
        </w:rPr>
        <w:t xml:space="preserve"> be issuing any further </w:t>
      </w:r>
      <w:r w:rsidR="00A401B3" w:rsidRPr="00E5412B">
        <w:rPr>
          <w:rFonts w:asciiTheme="minorHAnsi" w:hAnsiTheme="minorHAnsi" w:cstheme="minorHAnsi"/>
        </w:rPr>
        <w:t>guidance</w:t>
      </w:r>
      <w:r w:rsidR="00C21E91">
        <w:rPr>
          <w:rFonts w:asciiTheme="minorHAnsi" w:hAnsiTheme="minorHAnsi" w:cstheme="minorHAnsi"/>
        </w:rPr>
        <w:t xml:space="preserve"> with respect to adult use cannabis</w:t>
      </w:r>
      <w:r w:rsidR="00A401B3" w:rsidRPr="00E5412B">
        <w:rPr>
          <w:rFonts w:asciiTheme="minorHAnsi" w:hAnsiTheme="minorHAnsi" w:cstheme="minorHAnsi"/>
        </w:rPr>
        <w:t>,</w:t>
      </w:r>
      <w:r w:rsidR="00D05186" w:rsidRPr="00E5412B">
        <w:rPr>
          <w:rFonts w:asciiTheme="minorHAnsi" w:hAnsiTheme="minorHAnsi" w:cstheme="minorHAnsi"/>
        </w:rPr>
        <w:t xml:space="preserve"> and it stands by the guidance DODD issued a few years ago regarding medical marijuana.  See</w:t>
      </w:r>
      <w:r w:rsidR="00D05186">
        <w:t xml:space="preserve"> </w:t>
      </w:r>
      <w:hyperlink r:id="rId7" w:history="1">
        <w:r w:rsidR="00D05186" w:rsidRPr="00DF3B00">
          <w:rPr>
            <w:rStyle w:val="Hyperlink"/>
            <w:rFonts w:asciiTheme="minorHAnsi" w:hAnsiTheme="minorHAnsi" w:cstheme="minorHAnsi"/>
          </w:rPr>
          <w:t>https://files.constantcontact.com/141902ea301/5b530f1c-0556-4cad-8913-7f39a3cf6e21.pdf</w:t>
        </w:r>
      </w:hyperlink>
      <w:r w:rsidR="00F523E6">
        <w:rPr>
          <w:rStyle w:val="Hyperlink"/>
          <w:rFonts w:asciiTheme="minorHAnsi" w:hAnsiTheme="minorHAnsi" w:cstheme="minorHAnsi"/>
        </w:rPr>
        <w:t xml:space="preserve">.  </w:t>
      </w:r>
    </w:p>
    <w:p w14:paraId="33C53C5D" w14:textId="77777777" w:rsidR="00E01BCD" w:rsidRDefault="00E01BCD" w:rsidP="00C71A20">
      <w:pPr>
        <w:jc w:val="both"/>
        <w:rPr>
          <w:rFonts w:asciiTheme="minorHAnsi" w:hAnsiTheme="minorHAnsi" w:cstheme="minorHAnsi"/>
          <w:b/>
          <w:bCs/>
        </w:rPr>
      </w:pPr>
      <w:r w:rsidRPr="00E5412B">
        <w:rPr>
          <w:rFonts w:asciiTheme="minorHAnsi" w:hAnsiTheme="minorHAnsi" w:cstheme="minorHAnsi"/>
          <w:b/>
          <w:bCs/>
        </w:rPr>
        <w:t>What policies can providers implement to limit or restrict use/possession/growth by people served in the various settings (licensed waiver home, ICF, shared living)?</w:t>
      </w:r>
    </w:p>
    <w:p w14:paraId="707D7CA2" w14:textId="1A484EFF" w:rsidR="00E5412B" w:rsidRPr="00C71A20" w:rsidRDefault="00DF3B00" w:rsidP="00C71A20">
      <w:pPr>
        <w:jc w:val="both"/>
        <w:rPr>
          <w:rFonts w:asciiTheme="minorHAnsi" w:hAnsiTheme="minorHAnsi" w:cstheme="minorHAnsi"/>
        </w:rPr>
      </w:pPr>
      <w:r w:rsidRPr="00C71A20">
        <w:rPr>
          <w:rFonts w:asciiTheme="minorHAnsi" w:hAnsiTheme="minorHAnsi" w:cstheme="minorHAnsi"/>
        </w:rPr>
        <w:t xml:space="preserve">Because </w:t>
      </w:r>
      <w:r w:rsidR="00E5412B" w:rsidRPr="00C71A20">
        <w:rPr>
          <w:rFonts w:asciiTheme="minorHAnsi" w:hAnsiTheme="minorHAnsi" w:cstheme="minorHAnsi"/>
        </w:rPr>
        <w:t>marijuana use</w:t>
      </w:r>
      <w:r w:rsidRPr="00C71A20">
        <w:rPr>
          <w:rFonts w:asciiTheme="minorHAnsi" w:hAnsiTheme="minorHAnsi" w:cstheme="minorHAnsi"/>
        </w:rPr>
        <w:t>, possession</w:t>
      </w:r>
      <w:r w:rsidR="00AB7D08">
        <w:rPr>
          <w:rFonts w:asciiTheme="minorHAnsi" w:hAnsiTheme="minorHAnsi" w:cstheme="minorHAnsi"/>
        </w:rPr>
        <w:t>,</w:t>
      </w:r>
      <w:r w:rsidRPr="00C71A20">
        <w:rPr>
          <w:rFonts w:asciiTheme="minorHAnsi" w:hAnsiTheme="minorHAnsi" w:cstheme="minorHAnsi"/>
        </w:rPr>
        <w:t xml:space="preserve"> and growth</w:t>
      </w:r>
      <w:r w:rsidR="00E5412B" w:rsidRPr="00C71A20">
        <w:rPr>
          <w:rFonts w:asciiTheme="minorHAnsi" w:hAnsiTheme="minorHAnsi" w:cstheme="minorHAnsi"/>
        </w:rPr>
        <w:t xml:space="preserve"> </w:t>
      </w:r>
      <w:r w:rsidR="00A401B3" w:rsidRPr="00C71A20">
        <w:rPr>
          <w:rFonts w:asciiTheme="minorHAnsi" w:hAnsiTheme="minorHAnsi" w:cstheme="minorHAnsi"/>
        </w:rPr>
        <w:t>remain</w:t>
      </w:r>
      <w:r w:rsidR="00E5412B" w:rsidRPr="00C71A20">
        <w:rPr>
          <w:rFonts w:asciiTheme="minorHAnsi" w:hAnsiTheme="minorHAnsi" w:cstheme="minorHAnsi"/>
        </w:rPr>
        <w:t xml:space="preserve"> illegal </w:t>
      </w:r>
      <w:r w:rsidR="00733DEB">
        <w:rPr>
          <w:rFonts w:asciiTheme="minorHAnsi" w:hAnsiTheme="minorHAnsi" w:cstheme="minorHAnsi"/>
        </w:rPr>
        <w:t xml:space="preserve">under </w:t>
      </w:r>
      <w:r w:rsidR="00E5412B" w:rsidRPr="00C71A20">
        <w:rPr>
          <w:rFonts w:asciiTheme="minorHAnsi" w:hAnsiTheme="minorHAnsi" w:cstheme="minorHAnsi"/>
        </w:rPr>
        <w:t xml:space="preserve">federal law, providers can continue to implement any policies </w:t>
      </w:r>
      <w:r w:rsidR="00733DEB">
        <w:rPr>
          <w:rFonts w:asciiTheme="minorHAnsi" w:hAnsiTheme="minorHAnsi" w:cstheme="minorHAnsi"/>
        </w:rPr>
        <w:t xml:space="preserve">for adult use cannabis that </w:t>
      </w:r>
      <w:r w:rsidR="00E5412B" w:rsidRPr="00C71A20">
        <w:rPr>
          <w:rFonts w:asciiTheme="minorHAnsi" w:hAnsiTheme="minorHAnsi" w:cstheme="minorHAnsi"/>
        </w:rPr>
        <w:t xml:space="preserve">they have currently in effect for medical marijuana.  </w:t>
      </w:r>
      <w:r w:rsidRPr="00C71A20">
        <w:rPr>
          <w:rFonts w:asciiTheme="minorHAnsi" w:hAnsiTheme="minorHAnsi" w:cstheme="minorHAnsi"/>
        </w:rPr>
        <w:t xml:space="preserve">Even if </w:t>
      </w:r>
      <w:r w:rsidR="00733DEB">
        <w:rPr>
          <w:rFonts w:asciiTheme="minorHAnsi" w:hAnsiTheme="minorHAnsi" w:cstheme="minorHAnsi"/>
        </w:rPr>
        <w:t xml:space="preserve">marijuana is eventually </w:t>
      </w:r>
      <w:r w:rsidRPr="00C71A20">
        <w:rPr>
          <w:rFonts w:asciiTheme="minorHAnsi" w:hAnsiTheme="minorHAnsi" w:cstheme="minorHAnsi"/>
        </w:rPr>
        <w:t>rescheduled</w:t>
      </w:r>
      <w:r w:rsidR="00733DEB">
        <w:rPr>
          <w:rFonts w:asciiTheme="minorHAnsi" w:hAnsiTheme="minorHAnsi" w:cstheme="minorHAnsi"/>
        </w:rPr>
        <w:t xml:space="preserve"> (which would not occur until sometime in 2025 at the earliest)</w:t>
      </w:r>
      <w:r w:rsidRPr="00C71A20">
        <w:rPr>
          <w:rFonts w:asciiTheme="minorHAnsi" w:hAnsiTheme="minorHAnsi" w:cstheme="minorHAnsi"/>
        </w:rPr>
        <w:t xml:space="preserve">, </w:t>
      </w:r>
      <w:r w:rsidR="00733DEB">
        <w:rPr>
          <w:rFonts w:asciiTheme="minorHAnsi" w:hAnsiTheme="minorHAnsi" w:cstheme="minorHAnsi"/>
        </w:rPr>
        <w:t xml:space="preserve">rescheduling </w:t>
      </w:r>
      <w:r w:rsidR="00652BA5" w:rsidRPr="00C71A20">
        <w:rPr>
          <w:rFonts w:asciiTheme="minorHAnsi" w:hAnsiTheme="minorHAnsi" w:cstheme="minorHAnsi"/>
        </w:rPr>
        <w:t>would</w:t>
      </w:r>
      <w:r w:rsidR="00E5412B" w:rsidRPr="00C71A20">
        <w:rPr>
          <w:rFonts w:asciiTheme="minorHAnsi" w:hAnsiTheme="minorHAnsi" w:cstheme="minorHAnsi"/>
        </w:rPr>
        <w:t xml:space="preserve"> affect only medical marijuana.  It will have no </w:t>
      </w:r>
      <w:r w:rsidR="00652BA5" w:rsidRPr="00C71A20">
        <w:rPr>
          <w:rFonts w:asciiTheme="minorHAnsi" w:hAnsiTheme="minorHAnsi" w:cstheme="minorHAnsi"/>
        </w:rPr>
        <w:t>effect</w:t>
      </w:r>
      <w:r w:rsidR="00E5412B" w:rsidRPr="00C71A20">
        <w:rPr>
          <w:rFonts w:asciiTheme="minorHAnsi" w:hAnsiTheme="minorHAnsi" w:cstheme="minorHAnsi"/>
        </w:rPr>
        <w:t xml:space="preserve"> on adult use/recreational cannabis, which will remain illegal under federal law.</w:t>
      </w:r>
      <w:r w:rsidR="00DA08BF" w:rsidRPr="00C71A20">
        <w:rPr>
          <w:rFonts w:asciiTheme="minorHAnsi" w:hAnsiTheme="minorHAnsi" w:cstheme="minorHAnsi"/>
        </w:rPr>
        <w:t xml:space="preserve">  According to DODD, they recommend that providers follow the federal law </w:t>
      </w:r>
      <w:r w:rsidR="00733DEB">
        <w:rPr>
          <w:rFonts w:asciiTheme="minorHAnsi" w:hAnsiTheme="minorHAnsi" w:cstheme="minorHAnsi"/>
        </w:rPr>
        <w:t xml:space="preserve">as it currently exists </w:t>
      </w:r>
      <w:r w:rsidR="00DA08BF" w:rsidRPr="00C71A20">
        <w:rPr>
          <w:rFonts w:asciiTheme="minorHAnsi" w:hAnsiTheme="minorHAnsi" w:cstheme="minorHAnsi"/>
        </w:rPr>
        <w:t>and do not become involved in any way with individual’s use, possession</w:t>
      </w:r>
      <w:r w:rsidR="00733DEB">
        <w:rPr>
          <w:rFonts w:asciiTheme="minorHAnsi" w:hAnsiTheme="minorHAnsi" w:cstheme="minorHAnsi"/>
        </w:rPr>
        <w:t>,</w:t>
      </w:r>
      <w:r w:rsidR="00DA08BF" w:rsidRPr="00C71A20">
        <w:rPr>
          <w:rFonts w:asciiTheme="minorHAnsi" w:hAnsiTheme="minorHAnsi" w:cstheme="minorHAnsi"/>
        </w:rPr>
        <w:t xml:space="preserve"> or growth of cannabis.  </w:t>
      </w:r>
    </w:p>
    <w:p w14:paraId="58AF49EF" w14:textId="77777777" w:rsidR="005D1B15" w:rsidRDefault="00E01BCD" w:rsidP="00C71A20">
      <w:pPr>
        <w:jc w:val="both"/>
        <w:rPr>
          <w:rFonts w:asciiTheme="minorHAnsi" w:hAnsiTheme="minorHAnsi" w:cstheme="minorHAnsi"/>
        </w:rPr>
      </w:pPr>
      <w:r w:rsidRPr="00D62AEE">
        <w:rPr>
          <w:rFonts w:asciiTheme="minorHAnsi" w:hAnsiTheme="minorHAnsi" w:cstheme="minorHAnsi"/>
          <w:b/>
          <w:bCs/>
        </w:rPr>
        <w:t>If and how does this answer change in licensed waiver settings and ICFs? What about in shared living?</w:t>
      </w:r>
      <w:r w:rsidR="00B3721A" w:rsidRPr="00D62AEE">
        <w:rPr>
          <w:rFonts w:asciiTheme="minorHAnsi" w:hAnsiTheme="minorHAnsi" w:cstheme="minorHAnsi"/>
        </w:rPr>
        <w:t xml:space="preserve">  </w:t>
      </w:r>
    </w:p>
    <w:p w14:paraId="30A98FEE" w14:textId="0BC3E0C3" w:rsidR="00E01BCD" w:rsidRPr="00C71A20" w:rsidRDefault="005D1B15" w:rsidP="00C71A20">
      <w:pPr>
        <w:jc w:val="both"/>
        <w:rPr>
          <w:rFonts w:asciiTheme="minorHAnsi" w:hAnsiTheme="minorHAnsi" w:cstheme="minorHAnsi"/>
        </w:rPr>
      </w:pPr>
      <w:r w:rsidRPr="00C71A20">
        <w:rPr>
          <w:rFonts w:asciiTheme="minorHAnsi" w:hAnsiTheme="minorHAnsi" w:cstheme="minorHAnsi"/>
        </w:rPr>
        <w:t xml:space="preserve">It does not change.  For ICFs and licensed waiver settings, providers can address individual cannabis use in </w:t>
      </w:r>
      <w:r w:rsidR="003E7799">
        <w:rPr>
          <w:rFonts w:asciiTheme="minorHAnsi" w:hAnsiTheme="minorHAnsi" w:cstheme="minorHAnsi"/>
        </w:rPr>
        <w:t xml:space="preserve">their </w:t>
      </w:r>
      <w:r w:rsidRPr="00C71A20">
        <w:rPr>
          <w:rFonts w:asciiTheme="minorHAnsi" w:hAnsiTheme="minorHAnsi" w:cstheme="minorHAnsi"/>
        </w:rPr>
        <w:t>polic</w:t>
      </w:r>
      <w:r w:rsidR="003E7799">
        <w:rPr>
          <w:rFonts w:asciiTheme="minorHAnsi" w:hAnsiTheme="minorHAnsi" w:cstheme="minorHAnsi"/>
        </w:rPr>
        <w:t>ies</w:t>
      </w:r>
      <w:r w:rsidRPr="00C71A20">
        <w:rPr>
          <w:rFonts w:asciiTheme="minorHAnsi" w:hAnsiTheme="minorHAnsi" w:cstheme="minorHAnsi"/>
        </w:rPr>
        <w:t xml:space="preserve">, if desired.  In licensed settings, providers can consider adding a </w:t>
      </w:r>
      <w:r w:rsidRPr="00C71A20">
        <w:rPr>
          <w:rFonts w:asciiTheme="minorHAnsi" w:hAnsiTheme="minorHAnsi" w:cstheme="minorHAnsi"/>
        </w:rPr>
        <w:lastRenderedPageBreak/>
        <w:t xml:space="preserve">provision to </w:t>
      </w:r>
      <w:r w:rsidR="003E7799">
        <w:rPr>
          <w:rFonts w:asciiTheme="minorHAnsi" w:hAnsiTheme="minorHAnsi" w:cstheme="minorHAnsi"/>
        </w:rPr>
        <w:t xml:space="preserve">their </w:t>
      </w:r>
      <w:r w:rsidR="003E4194" w:rsidRPr="00C71A20">
        <w:rPr>
          <w:rFonts w:asciiTheme="minorHAnsi" w:hAnsiTheme="minorHAnsi" w:cstheme="minorHAnsi"/>
        </w:rPr>
        <w:t>leases</w:t>
      </w:r>
      <w:r w:rsidRPr="00C71A20">
        <w:rPr>
          <w:rFonts w:asciiTheme="minorHAnsi" w:hAnsiTheme="minorHAnsi" w:cstheme="minorHAnsi"/>
        </w:rPr>
        <w:t xml:space="preserve"> prohibiting cannabis use</w:t>
      </w:r>
      <w:r w:rsidR="00DF3B00" w:rsidRPr="00C71A20">
        <w:rPr>
          <w:rFonts w:asciiTheme="minorHAnsi" w:hAnsiTheme="minorHAnsi" w:cstheme="minorHAnsi"/>
        </w:rPr>
        <w:t>, growth</w:t>
      </w:r>
      <w:r w:rsidR="003E7799">
        <w:rPr>
          <w:rFonts w:asciiTheme="minorHAnsi" w:hAnsiTheme="minorHAnsi" w:cstheme="minorHAnsi"/>
        </w:rPr>
        <w:t>,</w:t>
      </w:r>
      <w:r w:rsidR="00DF3B00" w:rsidRPr="00C71A20">
        <w:rPr>
          <w:rFonts w:asciiTheme="minorHAnsi" w:hAnsiTheme="minorHAnsi" w:cstheme="minorHAnsi"/>
        </w:rPr>
        <w:t xml:space="preserve"> and possession</w:t>
      </w:r>
      <w:r w:rsidRPr="00C71A20">
        <w:rPr>
          <w:rFonts w:asciiTheme="minorHAnsi" w:hAnsiTheme="minorHAnsi" w:cstheme="minorHAnsi"/>
        </w:rPr>
        <w:t xml:space="preserve"> on the premises, similar to a non-smoking policy. </w:t>
      </w:r>
      <w:r w:rsidR="003E4194" w:rsidRPr="00C71A20">
        <w:rPr>
          <w:rFonts w:asciiTheme="minorHAnsi" w:hAnsiTheme="minorHAnsi" w:cstheme="minorHAnsi"/>
        </w:rPr>
        <w:t xml:space="preserve"> </w:t>
      </w:r>
      <w:bookmarkStart w:id="2" w:name="_Hlk178797292"/>
      <w:r w:rsidR="003E4194" w:rsidRPr="00C71A20">
        <w:rPr>
          <w:rFonts w:asciiTheme="minorHAnsi" w:hAnsiTheme="minorHAnsi" w:cstheme="minorHAnsi"/>
        </w:rPr>
        <w:t>For shared living, this could be more difficult to control, but providers can consider also adding a no</w:t>
      </w:r>
      <w:r w:rsidR="003E7799">
        <w:rPr>
          <w:rFonts w:asciiTheme="minorHAnsi" w:hAnsiTheme="minorHAnsi" w:cstheme="minorHAnsi"/>
        </w:rPr>
        <w:t>-</w:t>
      </w:r>
      <w:r w:rsidR="003E4194" w:rsidRPr="00C71A20">
        <w:rPr>
          <w:rFonts w:asciiTheme="minorHAnsi" w:hAnsiTheme="minorHAnsi" w:cstheme="minorHAnsi"/>
        </w:rPr>
        <w:t>cannabis provision into their shared living agreements.</w:t>
      </w:r>
    </w:p>
    <w:bookmarkEnd w:id="2"/>
    <w:p w14:paraId="5CF0A068" w14:textId="6FC38A48" w:rsidR="00DF3B00" w:rsidRDefault="00E01BCD" w:rsidP="00C71A20">
      <w:pPr>
        <w:jc w:val="both"/>
        <w:rPr>
          <w:rFonts w:asciiTheme="minorHAnsi" w:hAnsiTheme="minorHAnsi" w:cstheme="minorHAnsi"/>
        </w:rPr>
      </w:pPr>
      <w:r w:rsidRPr="003E4194">
        <w:rPr>
          <w:rFonts w:asciiTheme="minorHAnsi" w:hAnsiTheme="minorHAnsi" w:cstheme="minorHAnsi"/>
          <w:b/>
          <w:bCs/>
        </w:rPr>
        <w:t xml:space="preserve">What are provider obligations when families want to give their loved </w:t>
      </w:r>
      <w:proofErr w:type="gramStart"/>
      <w:r w:rsidRPr="003E4194">
        <w:rPr>
          <w:rFonts w:asciiTheme="minorHAnsi" w:hAnsiTheme="minorHAnsi" w:cstheme="minorHAnsi"/>
          <w:b/>
          <w:bCs/>
        </w:rPr>
        <w:t>ones</w:t>
      </w:r>
      <w:proofErr w:type="gramEnd"/>
      <w:r w:rsidRPr="003E4194">
        <w:rPr>
          <w:rFonts w:asciiTheme="minorHAnsi" w:hAnsiTheme="minorHAnsi" w:cstheme="minorHAnsi"/>
          <w:b/>
          <w:bCs/>
        </w:rPr>
        <w:t xml:space="preserve"> medical </w:t>
      </w:r>
      <w:r w:rsidR="008430EC">
        <w:rPr>
          <w:rFonts w:asciiTheme="minorHAnsi" w:hAnsiTheme="minorHAnsi" w:cstheme="minorHAnsi"/>
          <w:b/>
          <w:bCs/>
        </w:rPr>
        <w:t xml:space="preserve">marijuana </w:t>
      </w:r>
      <w:r w:rsidRPr="003E4194">
        <w:rPr>
          <w:rFonts w:asciiTheme="minorHAnsi" w:hAnsiTheme="minorHAnsi" w:cstheme="minorHAnsi"/>
          <w:b/>
          <w:bCs/>
        </w:rPr>
        <w:t xml:space="preserve">or </w:t>
      </w:r>
      <w:r w:rsidR="008430EC">
        <w:rPr>
          <w:rFonts w:asciiTheme="minorHAnsi" w:hAnsiTheme="minorHAnsi" w:cstheme="minorHAnsi"/>
          <w:b/>
          <w:bCs/>
        </w:rPr>
        <w:t>adult use cannabis</w:t>
      </w:r>
      <w:r w:rsidRPr="003E4194">
        <w:rPr>
          <w:rFonts w:asciiTheme="minorHAnsi" w:hAnsiTheme="minorHAnsi" w:cstheme="minorHAnsi"/>
          <w:b/>
          <w:bCs/>
        </w:rPr>
        <w:t>?</w:t>
      </w:r>
      <w:r w:rsidRPr="003E4194">
        <w:rPr>
          <w:rFonts w:asciiTheme="minorHAnsi" w:hAnsiTheme="minorHAnsi" w:cstheme="minorHAnsi"/>
        </w:rPr>
        <w:t xml:space="preserve"> </w:t>
      </w:r>
    </w:p>
    <w:p w14:paraId="7403769F" w14:textId="7A9BC5B3" w:rsidR="00E01BCD" w:rsidRPr="00C71A20" w:rsidRDefault="00850790" w:rsidP="00C71A20">
      <w:pPr>
        <w:jc w:val="both"/>
        <w:rPr>
          <w:rStyle w:val="Hyperlink"/>
          <w:rFonts w:asciiTheme="minorHAnsi" w:hAnsiTheme="minorHAnsi" w:cstheme="minorHAnsi"/>
          <w:color w:val="auto"/>
          <w:u w:val="none"/>
        </w:rPr>
      </w:pPr>
      <w:r w:rsidRPr="00C71A20">
        <w:rPr>
          <w:rFonts w:asciiTheme="minorHAnsi" w:hAnsiTheme="minorHAnsi" w:cstheme="minorHAnsi"/>
        </w:rPr>
        <w:t xml:space="preserve">Providers have no obligations to families that want to give their loved </w:t>
      </w:r>
      <w:proofErr w:type="gramStart"/>
      <w:r w:rsidRPr="00C71A20">
        <w:rPr>
          <w:rFonts w:asciiTheme="minorHAnsi" w:hAnsiTheme="minorHAnsi" w:cstheme="minorHAnsi"/>
        </w:rPr>
        <w:t>ones</w:t>
      </w:r>
      <w:proofErr w:type="gramEnd"/>
      <w:r w:rsidRPr="00C71A20">
        <w:rPr>
          <w:rFonts w:asciiTheme="minorHAnsi" w:hAnsiTheme="minorHAnsi" w:cstheme="minorHAnsi"/>
        </w:rPr>
        <w:t xml:space="preserve"> medical </w:t>
      </w:r>
      <w:r w:rsidR="008430EC">
        <w:rPr>
          <w:rFonts w:asciiTheme="minorHAnsi" w:hAnsiTheme="minorHAnsi" w:cstheme="minorHAnsi"/>
        </w:rPr>
        <w:t xml:space="preserve">marijuana </w:t>
      </w:r>
      <w:r w:rsidRPr="00C71A20">
        <w:rPr>
          <w:rFonts w:asciiTheme="minorHAnsi" w:hAnsiTheme="minorHAnsi" w:cstheme="minorHAnsi"/>
        </w:rPr>
        <w:t xml:space="preserve">or </w:t>
      </w:r>
      <w:r w:rsidR="008430EC">
        <w:rPr>
          <w:rFonts w:asciiTheme="minorHAnsi" w:hAnsiTheme="minorHAnsi" w:cstheme="minorHAnsi"/>
        </w:rPr>
        <w:t xml:space="preserve">adult use </w:t>
      </w:r>
      <w:r w:rsidRPr="00C71A20">
        <w:rPr>
          <w:rFonts w:asciiTheme="minorHAnsi" w:hAnsiTheme="minorHAnsi" w:cstheme="minorHAnsi"/>
        </w:rPr>
        <w:t>cannabis.  As already noted, marijuana remains illegal under federal law</w:t>
      </w:r>
      <w:r w:rsidR="008430EC">
        <w:rPr>
          <w:rFonts w:asciiTheme="minorHAnsi" w:hAnsiTheme="minorHAnsi" w:cstheme="minorHAnsi"/>
        </w:rPr>
        <w:t>,</w:t>
      </w:r>
      <w:r w:rsidRPr="00C71A20">
        <w:rPr>
          <w:rFonts w:asciiTheme="minorHAnsi" w:hAnsiTheme="minorHAnsi" w:cstheme="minorHAnsi"/>
        </w:rPr>
        <w:t xml:space="preserve"> and providers should not be involved in any way with the </w:t>
      </w:r>
      <w:r w:rsidR="00517A76" w:rsidRPr="00C71A20">
        <w:rPr>
          <w:rFonts w:asciiTheme="minorHAnsi" w:hAnsiTheme="minorHAnsi" w:cstheme="minorHAnsi"/>
        </w:rPr>
        <w:t>administration</w:t>
      </w:r>
      <w:r w:rsidRPr="00C71A20">
        <w:rPr>
          <w:rFonts w:asciiTheme="minorHAnsi" w:hAnsiTheme="minorHAnsi" w:cstheme="minorHAnsi"/>
        </w:rPr>
        <w:t xml:space="preserve"> of medical or </w:t>
      </w:r>
      <w:r w:rsidR="008430EC">
        <w:rPr>
          <w:rFonts w:asciiTheme="minorHAnsi" w:hAnsiTheme="minorHAnsi" w:cstheme="minorHAnsi"/>
        </w:rPr>
        <w:t>adult use</w:t>
      </w:r>
      <w:r w:rsidRPr="00C71A20">
        <w:rPr>
          <w:rFonts w:asciiTheme="minorHAnsi" w:hAnsiTheme="minorHAnsi" w:cstheme="minorHAnsi"/>
        </w:rPr>
        <w:t xml:space="preserve"> marijuana</w:t>
      </w:r>
      <w:r w:rsidR="008430EC">
        <w:rPr>
          <w:rFonts w:asciiTheme="minorHAnsi" w:hAnsiTheme="minorHAnsi" w:cstheme="minorHAnsi"/>
        </w:rPr>
        <w:t>/cannabis</w:t>
      </w:r>
      <w:r w:rsidRPr="00C71A20">
        <w:rPr>
          <w:rFonts w:asciiTheme="minorHAnsi" w:hAnsiTheme="minorHAnsi" w:cstheme="minorHAnsi"/>
        </w:rPr>
        <w:t xml:space="preserve">.  </w:t>
      </w:r>
    </w:p>
    <w:p w14:paraId="223DC627" w14:textId="3A03AFDD" w:rsidR="00E01BCD" w:rsidRPr="00C71A20" w:rsidRDefault="00E01BCD" w:rsidP="00C71A20">
      <w:pPr>
        <w:jc w:val="both"/>
        <w:rPr>
          <w:rFonts w:asciiTheme="minorHAnsi" w:hAnsiTheme="minorHAnsi" w:cstheme="minorHAnsi"/>
          <w:b/>
          <w:bCs/>
        </w:rPr>
      </w:pPr>
      <w:r w:rsidRPr="00C71A20">
        <w:rPr>
          <w:rFonts w:asciiTheme="minorHAnsi" w:hAnsiTheme="minorHAnsi" w:cstheme="minorHAnsi"/>
          <w:b/>
          <w:bCs/>
        </w:rPr>
        <w:t>What can providers require of shared living providers who are independent contractors with agencies in terms of limiting their use/growing of marijuana in the home where a person with DD is receiving the shared living service?  </w:t>
      </w:r>
    </w:p>
    <w:p w14:paraId="19350C5D" w14:textId="462CEFAB" w:rsidR="00850790" w:rsidRPr="00C71A20" w:rsidRDefault="00850790" w:rsidP="00C71A20">
      <w:pPr>
        <w:jc w:val="both"/>
        <w:rPr>
          <w:rFonts w:asciiTheme="minorHAnsi" w:hAnsiTheme="minorHAnsi" w:cstheme="minorHAnsi"/>
        </w:rPr>
      </w:pPr>
      <w:r w:rsidRPr="00C71A20">
        <w:rPr>
          <w:rFonts w:asciiTheme="minorHAnsi" w:hAnsiTheme="minorHAnsi" w:cstheme="minorHAnsi"/>
        </w:rPr>
        <w:t>As noted above, the use, growth</w:t>
      </w:r>
      <w:r w:rsidR="008430EC">
        <w:rPr>
          <w:rFonts w:asciiTheme="minorHAnsi" w:hAnsiTheme="minorHAnsi" w:cstheme="minorHAnsi"/>
        </w:rPr>
        <w:t>,</w:t>
      </w:r>
      <w:r w:rsidRPr="00C71A20">
        <w:rPr>
          <w:rFonts w:asciiTheme="minorHAnsi" w:hAnsiTheme="minorHAnsi" w:cstheme="minorHAnsi"/>
        </w:rPr>
        <w:t xml:space="preserve"> and possession of cannabis can be more difficult to control in a shared living setting where an </w:t>
      </w:r>
      <w:r w:rsidR="00517A76" w:rsidRPr="00C71A20">
        <w:rPr>
          <w:rFonts w:asciiTheme="minorHAnsi" w:hAnsiTheme="minorHAnsi" w:cstheme="minorHAnsi"/>
        </w:rPr>
        <w:t>individual</w:t>
      </w:r>
      <w:r w:rsidRPr="00C71A20">
        <w:rPr>
          <w:rFonts w:asciiTheme="minorHAnsi" w:hAnsiTheme="minorHAnsi" w:cstheme="minorHAnsi"/>
        </w:rPr>
        <w:t xml:space="preserve"> is living in a family member’s home.  However, providers can consider adding a no</w:t>
      </w:r>
      <w:r w:rsidR="008430EC">
        <w:rPr>
          <w:rFonts w:asciiTheme="minorHAnsi" w:hAnsiTheme="minorHAnsi" w:cstheme="minorHAnsi"/>
        </w:rPr>
        <w:t>-</w:t>
      </w:r>
      <w:r w:rsidRPr="00C71A20">
        <w:rPr>
          <w:rFonts w:asciiTheme="minorHAnsi" w:hAnsiTheme="minorHAnsi" w:cstheme="minorHAnsi"/>
        </w:rPr>
        <w:t>cannabis provision into their shared living agreements.</w:t>
      </w:r>
    </w:p>
    <w:p w14:paraId="36E78722" w14:textId="77777777" w:rsidR="00E01BCD" w:rsidRDefault="00E01BCD" w:rsidP="00C71A20">
      <w:pPr>
        <w:jc w:val="both"/>
        <w:rPr>
          <w:rFonts w:asciiTheme="minorHAnsi" w:hAnsiTheme="minorHAnsi" w:cstheme="minorHAnsi"/>
          <w:b/>
          <w:bCs/>
        </w:rPr>
      </w:pPr>
      <w:r w:rsidRPr="00850790">
        <w:rPr>
          <w:rFonts w:asciiTheme="minorHAnsi" w:hAnsiTheme="minorHAnsi" w:cstheme="minorHAnsi"/>
          <w:b/>
          <w:bCs/>
        </w:rPr>
        <w:t>What limits can these contractors put on the people they are serving</w:t>
      </w:r>
      <w:r w:rsidRPr="005B7833">
        <w:rPr>
          <w:rFonts w:asciiTheme="minorHAnsi" w:hAnsiTheme="minorHAnsi" w:cstheme="minorHAnsi"/>
          <w:b/>
          <w:bCs/>
        </w:rPr>
        <w:t>?</w:t>
      </w:r>
    </w:p>
    <w:p w14:paraId="5AE00B04" w14:textId="381A2616" w:rsidR="00850790" w:rsidRPr="00C71A20" w:rsidRDefault="00850790" w:rsidP="00C71A20">
      <w:pPr>
        <w:jc w:val="both"/>
        <w:rPr>
          <w:rFonts w:asciiTheme="minorHAnsi" w:hAnsiTheme="minorHAnsi" w:cstheme="minorHAnsi"/>
        </w:rPr>
      </w:pPr>
      <w:r w:rsidRPr="00C71A20">
        <w:rPr>
          <w:rFonts w:asciiTheme="minorHAnsi" w:hAnsiTheme="minorHAnsi" w:cstheme="minorHAnsi"/>
        </w:rPr>
        <w:t xml:space="preserve">Contractors should </w:t>
      </w:r>
      <w:r w:rsidR="004244CD" w:rsidRPr="00C71A20">
        <w:rPr>
          <w:rFonts w:asciiTheme="minorHAnsi" w:hAnsiTheme="minorHAnsi" w:cstheme="minorHAnsi"/>
        </w:rPr>
        <w:t xml:space="preserve">attempt to </w:t>
      </w:r>
      <w:r w:rsidR="00807C56">
        <w:rPr>
          <w:rFonts w:asciiTheme="minorHAnsi" w:hAnsiTheme="minorHAnsi" w:cstheme="minorHAnsi"/>
        </w:rPr>
        <w:t>follow federal law regarding adult use marijuana/cannabis</w:t>
      </w:r>
      <w:r w:rsidR="0053002C" w:rsidRPr="00C71A20">
        <w:rPr>
          <w:rFonts w:asciiTheme="minorHAnsi" w:hAnsiTheme="minorHAnsi" w:cstheme="minorHAnsi"/>
        </w:rPr>
        <w:t xml:space="preserve">; </w:t>
      </w:r>
      <w:r w:rsidR="004244CD" w:rsidRPr="00C71A20">
        <w:rPr>
          <w:rFonts w:asciiTheme="minorHAnsi" w:hAnsiTheme="minorHAnsi" w:cstheme="minorHAnsi"/>
        </w:rPr>
        <w:t>however</w:t>
      </w:r>
      <w:r w:rsidR="0053002C" w:rsidRPr="00C71A20">
        <w:rPr>
          <w:rFonts w:asciiTheme="minorHAnsi" w:hAnsiTheme="minorHAnsi" w:cstheme="minorHAnsi"/>
        </w:rPr>
        <w:t>,</w:t>
      </w:r>
      <w:r w:rsidR="004244CD" w:rsidRPr="00C71A20">
        <w:rPr>
          <w:rFonts w:asciiTheme="minorHAnsi" w:hAnsiTheme="minorHAnsi" w:cstheme="minorHAnsi"/>
        </w:rPr>
        <w:t xml:space="preserve"> we understand that may be difficult </w:t>
      </w:r>
      <w:r w:rsidR="00807C56">
        <w:rPr>
          <w:rFonts w:asciiTheme="minorHAnsi" w:hAnsiTheme="minorHAnsi" w:cstheme="minorHAnsi"/>
        </w:rPr>
        <w:t xml:space="preserve">for providers </w:t>
      </w:r>
      <w:r w:rsidR="004244CD" w:rsidRPr="00C71A20">
        <w:rPr>
          <w:rFonts w:asciiTheme="minorHAnsi" w:hAnsiTheme="minorHAnsi" w:cstheme="minorHAnsi"/>
        </w:rPr>
        <w:t>to control or assess</w:t>
      </w:r>
      <w:r w:rsidRPr="00C71A20">
        <w:rPr>
          <w:rFonts w:asciiTheme="minorHAnsi" w:hAnsiTheme="minorHAnsi" w:cstheme="minorHAnsi"/>
        </w:rPr>
        <w:t xml:space="preserve">.  As noted above, providers can consider adding </w:t>
      </w:r>
      <w:r w:rsidR="00517A76" w:rsidRPr="00C71A20">
        <w:rPr>
          <w:rFonts w:asciiTheme="minorHAnsi" w:hAnsiTheme="minorHAnsi" w:cstheme="minorHAnsi"/>
        </w:rPr>
        <w:t>provisions</w:t>
      </w:r>
      <w:r w:rsidRPr="00C71A20">
        <w:rPr>
          <w:rFonts w:asciiTheme="minorHAnsi" w:hAnsiTheme="minorHAnsi" w:cstheme="minorHAnsi"/>
        </w:rPr>
        <w:t xml:space="preserve"> to their </w:t>
      </w:r>
      <w:r w:rsidR="004244CD" w:rsidRPr="00C71A20">
        <w:rPr>
          <w:rFonts w:asciiTheme="minorHAnsi" w:hAnsiTheme="minorHAnsi" w:cstheme="minorHAnsi"/>
        </w:rPr>
        <w:t>s</w:t>
      </w:r>
      <w:r w:rsidRPr="00C71A20">
        <w:rPr>
          <w:rFonts w:asciiTheme="minorHAnsi" w:hAnsiTheme="minorHAnsi" w:cstheme="minorHAnsi"/>
        </w:rPr>
        <w:t>hared living agreements</w:t>
      </w:r>
      <w:r w:rsidR="00807C56">
        <w:rPr>
          <w:rFonts w:asciiTheme="minorHAnsi" w:hAnsiTheme="minorHAnsi" w:cstheme="minorHAnsi"/>
        </w:rPr>
        <w:t xml:space="preserve"> addressing these issues</w:t>
      </w:r>
      <w:r w:rsidRPr="00C71A20">
        <w:rPr>
          <w:rFonts w:asciiTheme="minorHAnsi" w:hAnsiTheme="minorHAnsi" w:cstheme="minorHAnsi"/>
        </w:rPr>
        <w:t xml:space="preserve">.  </w:t>
      </w:r>
    </w:p>
    <w:p w14:paraId="3BB13E11" w14:textId="1B420C18" w:rsidR="0072246D" w:rsidRDefault="00FB696F" w:rsidP="00E86C36">
      <w:pPr>
        <w:jc w:val="both"/>
        <w:rPr>
          <w:rFonts w:asciiTheme="minorHAnsi" w:hAnsiTheme="minorHAnsi" w:cstheme="minorHAnsi"/>
          <w:b/>
          <w:bCs/>
        </w:rPr>
      </w:pPr>
      <w:r>
        <w:rPr>
          <w:rFonts w:asciiTheme="minorHAnsi" w:hAnsiTheme="minorHAnsi" w:cstheme="minorHAnsi"/>
          <w:b/>
          <w:bCs/>
        </w:rPr>
        <w:t>If a provider</w:t>
      </w:r>
      <w:r w:rsidR="00C24F3F" w:rsidRPr="00652BA5">
        <w:rPr>
          <w:rFonts w:asciiTheme="minorHAnsi" w:hAnsiTheme="minorHAnsi" w:cstheme="minorHAnsi"/>
          <w:b/>
          <w:bCs/>
        </w:rPr>
        <w:t xml:space="preserve"> provide</w:t>
      </w:r>
      <w:r>
        <w:rPr>
          <w:rFonts w:asciiTheme="minorHAnsi" w:hAnsiTheme="minorHAnsi" w:cstheme="minorHAnsi"/>
          <w:b/>
          <w:bCs/>
        </w:rPr>
        <w:t>s</w:t>
      </w:r>
      <w:r w:rsidR="00C24F3F" w:rsidRPr="00652BA5">
        <w:rPr>
          <w:rFonts w:asciiTheme="minorHAnsi" w:hAnsiTheme="minorHAnsi" w:cstheme="minorHAnsi"/>
          <w:b/>
          <w:bCs/>
        </w:rPr>
        <w:t xml:space="preserve"> services on the state’s border </w:t>
      </w:r>
      <w:r>
        <w:rPr>
          <w:rFonts w:asciiTheme="minorHAnsi" w:hAnsiTheme="minorHAnsi" w:cstheme="minorHAnsi"/>
          <w:b/>
          <w:bCs/>
        </w:rPr>
        <w:t xml:space="preserve">and </w:t>
      </w:r>
      <w:r w:rsidR="00C24F3F" w:rsidRPr="00652BA5">
        <w:rPr>
          <w:rFonts w:asciiTheme="minorHAnsi" w:hAnsiTheme="minorHAnsi" w:cstheme="minorHAnsi"/>
          <w:b/>
          <w:bCs/>
        </w:rPr>
        <w:t xml:space="preserve">do activities (community outings, employment services/job placements, etc.), what do providers need to consider since now staff are crossing state lines (especially in the </w:t>
      </w:r>
      <w:r w:rsidR="00A401B3" w:rsidRPr="00652BA5">
        <w:rPr>
          <w:rFonts w:asciiTheme="minorHAnsi" w:hAnsiTheme="minorHAnsi" w:cstheme="minorHAnsi"/>
          <w:b/>
          <w:bCs/>
        </w:rPr>
        <w:t>border</w:t>
      </w:r>
      <w:r w:rsidR="00C24F3F" w:rsidRPr="00652BA5">
        <w:rPr>
          <w:rFonts w:asciiTheme="minorHAnsi" w:hAnsiTheme="minorHAnsi" w:cstheme="minorHAnsi"/>
          <w:b/>
          <w:bCs/>
        </w:rPr>
        <w:t xml:space="preserve"> states that do not have comprehensive use laws in place)?</w:t>
      </w:r>
    </w:p>
    <w:p w14:paraId="3C153288" w14:textId="410C2803" w:rsidR="00633059" w:rsidRPr="00E86C36" w:rsidRDefault="00FB696F" w:rsidP="00652BA5">
      <w:pPr>
        <w:jc w:val="both"/>
        <w:rPr>
          <w:rFonts w:asciiTheme="minorHAnsi" w:hAnsiTheme="minorHAnsi" w:cstheme="minorHAnsi"/>
        </w:rPr>
      </w:pPr>
      <w:r>
        <w:rPr>
          <w:rFonts w:asciiTheme="minorHAnsi" w:hAnsiTheme="minorHAnsi" w:cstheme="minorHAnsi"/>
        </w:rPr>
        <w:t xml:space="preserve">Since </w:t>
      </w:r>
      <w:r w:rsidR="00517A76">
        <w:rPr>
          <w:rFonts w:asciiTheme="minorHAnsi" w:hAnsiTheme="minorHAnsi" w:cstheme="minorHAnsi"/>
        </w:rPr>
        <w:t>marijuana</w:t>
      </w:r>
      <w:r>
        <w:rPr>
          <w:rFonts w:asciiTheme="minorHAnsi" w:hAnsiTheme="minorHAnsi" w:cstheme="minorHAnsi"/>
        </w:rPr>
        <w:t xml:space="preserve"> remains illegal at federal law, the above responses remain </w:t>
      </w:r>
      <w:r w:rsidR="00DF3B00">
        <w:rPr>
          <w:rFonts w:asciiTheme="minorHAnsi" w:hAnsiTheme="minorHAnsi" w:cstheme="minorHAnsi"/>
        </w:rPr>
        <w:t>applicable</w:t>
      </w:r>
      <w:r>
        <w:rPr>
          <w:rFonts w:asciiTheme="minorHAnsi" w:hAnsiTheme="minorHAnsi" w:cstheme="minorHAnsi"/>
        </w:rPr>
        <w:t xml:space="preserve"> to th</w:t>
      </w:r>
      <w:r w:rsidR="00DF3B00">
        <w:rPr>
          <w:rFonts w:asciiTheme="minorHAnsi" w:hAnsiTheme="minorHAnsi" w:cstheme="minorHAnsi"/>
        </w:rPr>
        <w:t>e</w:t>
      </w:r>
      <w:r>
        <w:rPr>
          <w:rFonts w:asciiTheme="minorHAnsi" w:hAnsiTheme="minorHAnsi" w:cstheme="minorHAnsi"/>
        </w:rPr>
        <w:t>s</w:t>
      </w:r>
      <w:r w:rsidR="00DF3B00">
        <w:rPr>
          <w:rFonts w:asciiTheme="minorHAnsi" w:hAnsiTheme="minorHAnsi" w:cstheme="minorHAnsi"/>
        </w:rPr>
        <w:t>e</w:t>
      </w:r>
      <w:r>
        <w:rPr>
          <w:rFonts w:asciiTheme="minorHAnsi" w:hAnsiTheme="minorHAnsi" w:cstheme="minorHAnsi"/>
        </w:rPr>
        <w:t xml:space="preserve"> </w:t>
      </w:r>
      <w:r w:rsidR="00DF3B00">
        <w:rPr>
          <w:rFonts w:asciiTheme="minorHAnsi" w:hAnsiTheme="minorHAnsi" w:cstheme="minorHAnsi"/>
        </w:rPr>
        <w:t xml:space="preserve">types of </w:t>
      </w:r>
      <w:r>
        <w:rPr>
          <w:rFonts w:asciiTheme="minorHAnsi" w:hAnsiTheme="minorHAnsi" w:cstheme="minorHAnsi"/>
        </w:rPr>
        <w:t xml:space="preserve">situations.  Providers will be </w:t>
      </w:r>
      <w:r w:rsidR="00517A76">
        <w:rPr>
          <w:rFonts w:asciiTheme="minorHAnsi" w:hAnsiTheme="minorHAnsi" w:cstheme="minorHAnsi"/>
        </w:rPr>
        <w:t>expected</w:t>
      </w:r>
      <w:r>
        <w:rPr>
          <w:rFonts w:asciiTheme="minorHAnsi" w:hAnsiTheme="minorHAnsi" w:cstheme="minorHAnsi"/>
        </w:rPr>
        <w:t xml:space="preserve"> to comply with federal law and not be involved with individual </w:t>
      </w:r>
      <w:r w:rsidR="00517A76">
        <w:rPr>
          <w:rFonts w:asciiTheme="minorHAnsi" w:hAnsiTheme="minorHAnsi" w:cstheme="minorHAnsi"/>
        </w:rPr>
        <w:t>marijuana</w:t>
      </w:r>
      <w:r>
        <w:rPr>
          <w:rFonts w:asciiTheme="minorHAnsi" w:hAnsiTheme="minorHAnsi" w:cstheme="minorHAnsi"/>
        </w:rPr>
        <w:t xml:space="preserve"> use </w:t>
      </w:r>
      <w:r w:rsidR="00A455F0">
        <w:rPr>
          <w:rFonts w:asciiTheme="minorHAnsi" w:hAnsiTheme="minorHAnsi" w:cstheme="minorHAnsi"/>
        </w:rPr>
        <w:t xml:space="preserve">in or </w:t>
      </w:r>
      <w:r>
        <w:rPr>
          <w:rFonts w:asciiTheme="minorHAnsi" w:hAnsiTheme="minorHAnsi" w:cstheme="minorHAnsi"/>
        </w:rPr>
        <w:t xml:space="preserve">out of state.  </w:t>
      </w:r>
    </w:p>
    <w:sectPr w:rsidR="00633059" w:rsidRPr="00E86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7E66" w14:textId="77777777" w:rsidR="0072246D" w:rsidRDefault="0072246D" w:rsidP="0072246D">
      <w:pPr>
        <w:spacing w:after="0"/>
      </w:pPr>
      <w:r>
        <w:separator/>
      </w:r>
    </w:p>
  </w:endnote>
  <w:endnote w:type="continuationSeparator" w:id="0">
    <w:p w14:paraId="2CD56CC6" w14:textId="77777777" w:rsidR="0072246D" w:rsidRDefault="0072246D" w:rsidP="00722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011B" w14:textId="77777777" w:rsidR="0072246D" w:rsidRDefault="0072246D" w:rsidP="0072246D">
      <w:pPr>
        <w:spacing w:after="0"/>
      </w:pPr>
      <w:r>
        <w:separator/>
      </w:r>
    </w:p>
  </w:footnote>
  <w:footnote w:type="continuationSeparator" w:id="0">
    <w:p w14:paraId="2BEF537B" w14:textId="77777777" w:rsidR="0072246D" w:rsidRDefault="0072246D" w:rsidP="00722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D0"/>
    <w:multiLevelType w:val="hybridMultilevel"/>
    <w:tmpl w:val="CC1E2A8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3D453964"/>
    <w:multiLevelType w:val="hybridMultilevel"/>
    <w:tmpl w:val="0750C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65526"/>
    <w:multiLevelType w:val="hybridMultilevel"/>
    <w:tmpl w:val="CE32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C4486"/>
    <w:multiLevelType w:val="hybridMultilevel"/>
    <w:tmpl w:val="27B838E0"/>
    <w:lvl w:ilvl="0" w:tplc="71DC8234">
      <w:start w:val="1"/>
      <w:numFmt w:val="bullet"/>
      <w:lvlText w:val="•"/>
      <w:lvlJc w:val="left"/>
      <w:pPr>
        <w:tabs>
          <w:tab w:val="num" w:pos="720"/>
        </w:tabs>
        <w:ind w:left="720" w:hanging="360"/>
      </w:pPr>
      <w:rPr>
        <w:rFonts w:ascii="Arial" w:hAnsi="Arial" w:hint="default"/>
      </w:rPr>
    </w:lvl>
    <w:lvl w:ilvl="1" w:tplc="92847940" w:tentative="1">
      <w:start w:val="1"/>
      <w:numFmt w:val="bullet"/>
      <w:lvlText w:val="•"/>
      <w:lvlJc w:val="left"/>
      <w:pPr>
        <w:tabs>
          <w:tab w:val="num" w:pos="1440"/>
        </w:tabs>
        <w:ind w:left="1440" w:hanging="360"/>
      </w:pPr>
      <w:rPr>
        <w:rFonts w:ascii="Arial" w:hAnsi="Arial" w:hint="default"/>
      </w:rPr>
    </w:lvl>
    <w:lvl w:ilvl="2" w:tplc="218C5FD8" w:tentative="1">
      <w:start w:val="1"/>
      <w:numFmt w:val="bullet"/>
      <w:lvlText w:val="•"/>
      <w:lvlJc w:val="left"/>
      <w:pPr>
        <w:tabs>
          <w:tab w:val="num" w:pos="2160"/>
        </w:tabs>
        <w:ind w:left="2160" w:hanging="360"/>
      </w:pPr>
      <w:rPr>
        <w:rFonts w:ascii="Arial" w:hAnsi="Arial" w:hint="default"/>
      </w:rPr>
    </w:lvl>
    <w:lvl w:ilvl="3" w:tplc="3CFC1F1A" w:tentative="1">
      <w:start w:val="1"/>
      <w:numFmt w:val="bullet"/>
      <w:lvlText w:val="•"/>
      <w:lvlJc w:val="left"/>
      <w:pPr>
        <w:tabs>
          <w:tab w:val="num" w:pos="2880"/>
        </w:tabs>
        <w:ind w:left="2880" w:hanging="360"/>
      </w:pPr>
      <w:rPr>
        <w:rFonts w:ascii="Arial" w:hAnsi="Arial" w:hint="default"/>
      </w:rPr>
    </w:lvl>
    <w:lvl w:ilvl="4" w:tplc="9C9A51C2" w:tentative="1">
      <w:start w:val="1"/>
      <w:numFmt w:val="bullet"/>
      <w:lvlText w:val="•"/>
      <w:lvlJc w:val="left"/>
      <w:pPr>
        <w:tabs>
          <w:tab w:val="num" w:pos="3600"/>
        </w:tabs>
        <w:ind w:left="3600" w:hanging="360"/>
      </w:pPr>
      <w:rPr>
        <w:rFonts w:ascii="Arial" w:hAnsi="Arial" w:hint="default"/>
      </w:rPr>
    </w:lvl>
    <w:lvl w:ilvl="5" w:tplc="ECBA347E" w:tentative="1">
      <w:start w:val="1"/>
      <w:numFmt w:val="bullet"/>
      <w:lvlText w:val="•"/>
      <w:lvlJc w:val="left"/>
      <w:pPr>
        <w:tabs>
          <w:tab w:val="num" w:pos="4320"/>
        </w:tabs>
        <w:ind w:left="4320" w:hanging="360"/>
      </w:pPr>
      <w:rPr>
        <w:rFonts w:ascii="Arial" w:hAnsi="Arial" w:hint="default"/>
      </w:rPr>
    </w:lvl>
    <w:lvl w:ilvl="6" w:tplc="4F68B800" w:tentative="1">
      <w:start w:val="1"/>
      <w:numFmt w:val="bullet"/>
      <w:lvlText w:val="•"/>
      <w:lvlJc w:val="left"/>
      <w:pPr>
        <w:tabs>
          <w:tab w:val="num" w:pos="5040"/>
        </w:tabs>
        <w:ind w:left="5040" w:hanging="360"/>
      </w:pPr>
      <w:rPr>
        <w:rFonts w:ascii="Arial" w:hAnsi="Arial" w:hint="default"/>
      </w:rPr>
    </w:lvl>
    <w:lvl w:ilvl="7" w:tplc="59BE404E" w:tentative="1">
      <w:start w:val="1"/>
      <w:numFmt w:val="bullet"/>
      <w:lvlText w:val="•"/>
      <w:lvlJc w:val="left"/>
      <w:pPr>
        <w:tabs>
          <w:tab w:val="num" w:pos="5760"/>
        </w:tabs>
        <w:ind w:left="5760" w:hanging="360"/>
      </w:pPr>
      <w:rPr>
        <w:rFonts w:ascii="Arial" w:hAnsi="Arial" w:hint="default"/>
      </w:rPr>
    </w:lvl>
    <w:lvl w:ilvl="8" w:tplc="6D329E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D921FC"/>
    <w:multiLevelType w:val="hybridMultilevel"/>
    <w:tmpl w:val="EDF8058A"/>
    <w:lvl w:ilvl="0" w:tplc="DBC837D8">
      <w:start w:val="1"/>
      <w:numFmt w:val="bullet"/>
      <w:lvlText w:val="•"/>
      <w:lvlJc w:val="left"/>
      <w:pPr>
        <w:tabs>
          <w:tab w:val="num" w:pos="720"/>
        </w:tabs>
        <w:ind w:left="720" w:hanging="360"/>
      </w:pPr>
      <w:rPr>
        <w:rFonts w:ascii="Arial" w:hAnsi="Arial" w:hint="default"/>
      </w:rPr>
    </w:lvl>
    <w:lvl w:ilvl="1" w:tplc="A70287BA">
      <w:numFmt w:val="bullet"/>
      <w:lvlText w:val="−"/>
      <w:lvlJc w:val="left"/>
      <w:pPr>
        <w:tabs>
          <w:tab w:val="num" w:pos="1440"/>
        </w:tabs>
        <w:ind w:left="1440" w:hanging="360"/>
      </w:pPr>
      <w:rPr>
        <w:rFonts w:ascii="Arial" w:hAnsi="Arial" w:hint="default"/>
      </w:rPr>
    </w:lvl>
    <w:lvl w:ilvl="2" w:tplc="88964852" w:tentative="1">
      <w:start w:val="1"/>
      <w:numFmt w:val="bullet"/>
      <w:lvlText w:val="•"/>
      <w:lvlJc w:val="left"/>
      <w:pPr>
        <w:tabs>
          <w:tab w:val="num" w:pos="2160"/>
        </w:tabs>
        <w:ind w:left="2160" w:hanging="360"/>
      </w:pPr>
      <w:rPr>
        <w:rFonts w:ascii="Arial" w:hAnsi="Arial" w:hint="default"/>
      </w:rPr>
    </w:lvl>
    <w:lvl w:ilvl="3" w:tplc="D408EAC6" w:tentative="1">
      <w:start w:val="1"/>
      <w:numFmt w:val="bullet"/>
      <w:lvlText w:val="•"/>
      <w:lvlJc w:val="left"/>
      <w:pPr>
        <w:tabs>
          <w:tab w:val="num" w:pos="2880"/>
        </w:tabs>
        <w:ind w:left="2880" w:hanging="360"/>
      </w:pPr>
      <w:rPr>
        <w:rFonts w:ascii="Arial" w:hAnsi="Arial" w:hint="default"/>
      </w:rPr>
    </w:lvl>
    <w:lvl w:ilvl="4" w:tplc="3D08B1B2" w:tentative="1">
      <w:start w:val="1"/>
      <w:numFmt w:val="bullet"/>
      <w:lvlText w:val="•"/>
      <w:lvlJc w:val="left"/>
      <w:pPr>
        <w:tabs>
          <w:tab w:val="num" w:pos="3600"/>
        </w:tabs>
        <w:ind w:left="3600" w:hanging="360"/>
      </w:pPr>
      <w:rPr>
        <w:rFonts w:ascii="Arial" w:hAnsi="Arial" w:hint="default"/>
      </w:rPr>
    </w:lvl>
    <w:lvl w:ilvl="5" w:tplc="983828D6" w:tentative="1">
      <w:start w:val="1"/>
      <w:numFmt w:val="bullet"/>
      <w:lvlText w:val="•"/>
      <w:lvlJc w:val="left"/>
      <w:pPr>
        <w:tabs>
          <w:tab w:val="num" w:pos="4320"/>
        </w:tabs>
        <w:ind w:left="4320" w:hanging="360"/>
      </w:pPr>
      <w:rPr>
        <w:rFonts w:ascii="Arial" w:hAnsi="Arial" w:hint="default"/>
      </w:rPr>
    </w:lvl>
    <w:lvl w:ilvl="6" w:tplc="E206A180" w:tentative="1">
      <w:start w:val="1"/>
      <w:numFmt w:val="bullet"/>
      <w:lvlText w:val="•"/>
      <w:lvlJc w:val="left"/>
      <w:pPr>
        <w:tabs>
          <w:tab w:val="num" w:pos="5040"/>
        </w:tabs>
        <w:ind w:left="5040" w:hanging="360"/>
      </w:pPr>
      <w:rPr>
        <w:rFonts w:ascii="Arial" w:hAnsi="Arial" w:hint="default"/>
      </w:rPr>
    </w:lvl>
    <w:lvl w:ilvl="7" w:tplc="16228F52" w:tentative="1">
      <w:start w:val="1"/>
      <w:numFmt w:val="bullet"/>
      <w:lvlText w:val="•"/>
      <w:lvlJc w:val="left"/>
      <w:pPr>
        <w:tabs>
          <w:tab w:val="num" w:pos="5760"/>
        </w:tabs>
        <w:ind w:left="5760" w:hanging="360"/>
      </w:pPr>
      <w:rPr>
        <w:rFonts w:ascii="Arial" w:hAnsi="Arial" w:hint="default"/>
      </w:rPr>
    </w:lvl>
    <w:lvl w:ilvl="8" w:tplc="C0D663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131445"/>
    <w:multiLevelType w:val="hybridMultilevel"/>
    <w:tmpl w:val="A99EB356"/>
    <w:lvl w:ilvl="0" w:tplc="71FC7338">
      <w:start w:val="1"/>
      <w:numFmt w:val="bullet"/>
      <w:lvlText w:val="•"/>
      <w:lvlJc w:val="left"/>
      <w:pPr>
        <w:tabs>
          <w:tab w:val="num" w:pos="720"/>
        </w:tabs>
        <w:ind w:left="720" w:hanging="360"/>
      </w:pPr>
      <w:rPr>
        <w:rFonts w:ascii="Arial" w:hAnsi="Arial" w:hint="default"/>
      </w:rPr>
    </w:lvl>
    <w:lvl w:ilvl="1" w:tplc="C2D2A63A" w:tentative="1">
      <w:start w:val="1"/>
      <w:numFmt w:val="bullet"/>
      <w:lvlText w:val="•"/>
      <w:lvlJc w:val="left"/>
      <w:pPr>
        <w:tabs>
          <w:tab w:val="num" w:pos="1440"/>
        </w:tabs>
        <w:ind w:left="1440" w:hanging="360"/>
      </w:pPr>
      <w:rPr>
        <w:rFonts w:ascii="Arial" w:hAnsi="Arial" w:hint="default"/>
      </w:rPr>
    </w:lvl>
    <w:lvl w:ilvl="2" w:tplc="A66E7988" w:tentative="1">
      <w:start w:val="1"/>
      <w:numFmt w:val="bullet"/>
      <w:lvlText w:val="•"/>
      <w:lvlJc w:val="left"/>
      <w:pPr>
        <w:tabs>
          <w:tab w:val="num" w:pos="2160"/>
        </w:tabs>
        <w:ind w:left="2160" w:hanging="360"/>
      </w:pPr>
      <w:rPr>
        <w:rFonts w:ascii="Arial" w:hAnsi="Arial" w:hint="default"/>
      </w:rPr>
    </w:lvl>
    <w:lvl w:ilvl="3" w:tplc="F614F9FC" w:tentative="1">
      <w:start w:val="1"/>
      <w:numFmt w:val="bullet"/>
      <w:lvlText w:val="•"/>
      <w:lvlJc w:val="left"/>
      <w:pPr>
        <w:tabs>
          <w:tab w:val="num" w:pos="2880"/>
        </w:tabs>
        <w:ind w:left="2880" w:hanging="360"/>
      </w:pPr>
      <w:rPr>
        <w:rFonts w:ascii="Arial" w:hAnsi="Arial" w:hint="default"/>
      </w:rPr>
    </w:lvl>
    <w:lvl w:ilvl="4" w:tplc="02AE4CF2" w:tentative="1">
      <w:start w:val="1"/>
      <w:numFmt w:val="bullet"/>
      <w:lvlText w:val="•"/>
      <w:lvlJc w:val="left"/>
      <w:pPr>
        <w:tabs>
          <w:tab w:val="num" w:pos="3600"/>
        </w:tabs>
        <w:ind w:left="3600" w:hanging="360"/>
      </w:pPr>
      <w:rPr>
        <w:rFonts w:ascii="Arial" w:hAnsi="Arial" w:hint="default"/>
      </w:rPr>
    </w:lvl>
    <w:lvl w:ilvl="5" w:tplc="798C688C" w:tentative="1">
      <w:start w:val="1"/>
      <w:numFmt w:val="bullet"/>
      <w:lvlText w:val="•"/>
      <w:lvlJc w:val="left"/>
      <w:pPr>
        <w:tabs>
          <w:tab w:val="num" w:pos="4320"/>
        </w:tabs>
        <w:ind w:left="4320" w:hanging="360"/>
      </w:pPr>
      <w:rPr>
        <w:rFonts w:ascii="Arial" w:hAnsi="Arial" w:hint="default"/>
      </w:rPr>
    </w:lvl>
    <w:lvl w:ilvl="6" w:tplc="27568F12" w:tentative="1">
      <w:start w:val="1"/>
      <w:numFmt w:val="bullet"/>
      <w:lvlText w:val="•"/>
      <w:lvlJc w:val="left"/>
      <w:pPr>
        <w:tabs>
          <w:tab w:val="num" w:pos="5040"/>
        </w:tabs>
        <w:ind w:left="5040" w:hanging="360"/>
      </w:pPr>
      <w:rPr>
        <w:rFonts w:ascii="Arial" w:hAnsi="Arial" w:hint="default"/>
      </w:rPr>
    </w:lvl>
    <w:lvl w:ilvl="7" w:tplc="3F425B2E" w:tentative="1">
      <w:start w:val="1"/>
      <w:numFmt w:val="bullet"/>
      <w:lvlText w:val="•"/>
      <w:lvlJc w:val="left"/>
      <w:pPr>
        <w:tabs>
          <w:tab w:val="num" w:pos="5760"/>
        </w:tabs>
        <w:ind w:left="5760" w:hanging="360"/>
      </w:pPr>
      <w:rPr>
        <w:rFonts w:ascii="Arial" w:hAnsi="Arial" w:hint="default"/>
      </w:rPr>
    </w:lvl>
    <w:lvl w:ilvl="8" w:tplc="730C1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982BD1"/>
    <w:multiLevelType w:val="hybridMultilevel"/>
    <w:tmpl w:val="81784566"/>
    <w:lvl w:ilvl="0" w:tplc="F6CA46A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86044424">
    <w:abstractNumId w:val="0"/>
  </w:num>
  <w:num w:numId="2" w16cid:durableId="134029746">
    <w:abstractNumId w:val="0"/>
  </w:num>
  <w:num w:numId="3" w16cid:durableId="873083619">
    <w:abstractNumId w:val="2"/>
  </w:num>
  <w:num w:numId="4" w16cid:durableId="2009137507">
    <w:abstractNumId w:val="4"/>
  </w:num>
  <w:num w:numId="5" w16cid:durableId="1486125886">
    <w:abstractNumId w:val="5"/>
  </w:num>
  <w:num w:numId="6" w16cid:durableId="2127694781">
    <w:abstractNumId w:val="3"/>
  </w:num>
  <w:num w:numId="7" w16cid:durableId="1406686216">
    <w:abstractNumId w:val="6"/>
  </w:num>
  <w:num w:numId="8" w16cid:durableId="180781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CD"/>
    <w:rsid w:val="000474E1"/>
    <w:rsid w:val="00053E19"/>
    <w:rsid w:val="0009071E"/>
    <w:rsid w:val="001418DC"/>
    <w:rsid w:val="001E3789"/>
    <w:rsid w:val="001F07B1"/>
    <w:rsid w:val="00240883"/>
    <w:rsid w:val="002432FE"/>
    <w:rsid w:val="00277A3B"/>
    <w:rsid w:val="00313198"/>
    <w:rsid w:val="00396DCE"/>
    <w:rsid w:val="003A1BE2"/>
    <w:rsid w:val="003E4194"/>
    <w:rsid w:val="003E7799"/>
    <w:rsid w:val="003F7770"/>
    <w:rsid w:val="004244CD"/>
    <w:rsid w:val="004571D3"/>
    <w:rsid w:val="00480EDD"/>
    <w:rsid w:val="00494208"/>
    <w:rsid w:val="004D1B6A"/>
    <w:rsid w:val="004F6346"/>
    <w:rsid w:val="00517A76"/>
    <w:rsid w:val="0053002C"/>
    <w:rsid w:val="00536960"/>
    <w:rsid w:val="00541D89"/>
    <w:rsid w:val="00552D14"/>
    <w:rsid w:val="00561213"/>
    <w:rsid w:val="005612AE"/>
    <w:rsid w:val="005808C9"/>
    <w:rsid w:val="005B7833"/>
    <w:rsid w:val="005D1B15"/>
    <w:rsid w:val="006248D9"/>
    <w:rsid w:val="00633059"/>
    <w:rsid w:val="00652BA5"/>
    <w:rsid w:val="0066486F"/>
    <w:rsid w:val="00691825"/>
    <w:rsid w:val="00693F3B"/>
    <w:rsid w:val="00703BF5"/>
    <w:rsid w:val="0072246D"/>
    <w:rsid w:val="00722A96"/>
    <w:rsid w:val="00733DEB"/>
    <w:rsid w:val="00772FE7"/>
    <w:rsid w:val="00790E03"/>
    <w:rsid w:val="00800DA1"/>
    <w:rsid w:val="00807C56"/>
    <w:rsid w:val="008430EC"/>
    <w:rsid w:val="00850790"/>
    <w:rsid w:val="008920CE"/>
    <w:rsid w:val="008979A2"/>
    <w:rsid w:val="008D19C5"/>
    <w:rsid w:val="008D70A3"/>
    <w:rsid w:val="00911DFF"/>
    <w:rsid w:val="00966EAB"/>
    <w:rsid w:val="00980852"/>
    <w:rsid w:val="0099608C"/>
    <w:rsid w:val="009F59A5"/>
    <w:rsid w:val="00A1284A"/>
    <w:rsid w:val="00A24B0E"/>
    <w:rsid w:val="00A401B3"/>
    <w:rsid w:val="00A439A6"/>
    <w:rsid w:val="00A455F0"/>
    <w:rsid w:val="00A91603"/>
    <w:rsid w:val="00AB2D28"/>
    <w:rsid w:val="00AB7D08"/>
    <w:rsid w:val="00AE786A"/>
    <w:rsid w:val="00B27517"/>
    <w:rsid w:val="00B3721A"/>
    <w:rsid w:val="00B777F4"/>
    <w:rsid w:val="00BD17FA"/>
    <w:rsid w:val="00BF3A06"/>
    <w:rsid w:val="00C21E91"/>
    <w:rsid w:val="00C24F3F"/>
    <w:rsid w:val="00C43F4C"/>
    <w:rsid w:val="00C45BFF"/>
    <w:rsid w:val="00C66A16"/>
    <w:rsid w:val="00C71A20"/>
    <w:rsid w:val="00CF0A83"/>
    <w:rsid w:val="00D05186"/>
    <w:rsid w:val="00D07D9F"/>
    <w:rsid w:val="00D27C10"/>
    <w:rsid w:val="00D54827"/>
    <w:rsid w:val="00D62AEE"/>
    <w:rsid w:val="00D71331"/>
    <w:rsid w:val="00D824B5"/>
    <w:rsid w:val="00DA08BF"/>
    <w:rsid w:val="00DE0663"/>
    <w:rsid w:val="00DE7EBA"/>
    <w:rsid w:val="00DF3B00"/>
    <w:rsid w:val="00E01BCD"/>
    <w:rsid w:val="00E2770B"/>
    <w:rsid w:val="00E46755"/>
    <w:rsid w:val="00E5412B"/>
    <w:rsid w:val="00E82C8D"/>
    <w:rsid w:val="00E86C36"/>
    <w:rsid w:val="00F25BA0"/>
    <w:rsid w:val="00F523E6"/>
    <w:rsid w:val="00F53ED4"/>
    <w:rsid w:val="00F94225"/>
    <w:rsid w:val="00FB696F"/>
    <w:rsid w:val="00FB75C2"/>
    <w:rsid w:val="00FD4B2C"/>
    <w:rsid w:val="00FF036B"/>
    <w:rsid w:val="00FF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7CA70B"/>
  <w15:chartTrackingRefBased/>
  <w15:docId w15:val="{BE8EB2BA-67E9-491D-B2A9-4D531AD1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BC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01BC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01BC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01BC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1BC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01B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1B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1B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1B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BC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01BC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01BC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01BC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01BC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01B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1B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1B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1B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1B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B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B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1B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1BCD"/>
    <w:rPr>
      <w:i/>
      <w:iCs/>
      <w:color w:val="404040" w:themeColor="text1" w:themeTint="BF"/>
    </w:rPr>
  </w:style>
  <w:style w:type="paragraph" w:styleId="ListParagraph">
    <w:name w:val="List Paragraph"/>
    <w:basedOn w:val="Normal"/>
    <w:uiPriority w:val="34"/>
    <w:qFormat/>
    <w:rsid w:val="00E01BCD"/>
    <w:pPr>
      <w:ind w:left="720"/>
      <w:contextualSpacing/>
    </w:pPr>
  </w:style>
  <w:style w:type="character" w:styleId="IntenseEmphasis">
    <w:name w:val="Intense Emphasis"/>
    <w:basedOn w:val="DefaultParagraphFont"/>
    <w:uiPriority w:val="21"/>
    <w:qFormat/>
    <w:rsid w:val="00E01BCD"/>
    <w:rPr>
      <w:i/>
      <w:iCs/>
      <w:color w:val="365F91" w:themeColor="accent1" w:themeShade="BF"/>
    </w:rPr>
  </w:style>
  <w:style w:type="paragraph" w:styleId="IntenseQuote">
    <w:name w:val="Intense Quote"/>
    <w:basedOn w:val="Normal"/>
    <w:next w:val="Normal"/>
    <w:link w:val="IntenseQuoteChar"/>
    <w:uiPriority w:val="30"/>
    <w:qFormat/>
    <w:rsid w:val="00E01B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01BCD"/>
    <w:rPr>
      <w:i/>
      <w:iCs/>
      <w:color w:val="365F91" w:themeColor="accent1" w:themeShade="BF"/>
    </w:rPr>
  </w:style>
  <w:style w:type="character" w:styleId="IntenseReference">
    <w:name w:val="Intense Reference"/>
    <w:basedOn w:val="DefaultParagraphFont"/>
    <w:uiPriority w:val="32"/>
    <w:qFormat/>
    <w:rsid w:val="00E01BCD"/>
    <w:rPr>
      <w:b/>
      <w:bCs/>
      <w:smallCaps/>
      <w:color w:val="365F91" w:themeColor="accent1" w:themeShade="BF"/>
      <w:spacing w:val="5"/>
    </w:rPr>
  </w:style>
  <w:style w:type="character" w:styleId="Hyperlink">
    <w:name w:val="Hyperlink"/>
    <w:basedOn w:val="DefaultParagraphFont"/>
    <w:uiPriority w:val="99"/>
    <w:unhideWhenUsed/>
    <w:rsid w:val="00E01BCD"/>
    <w:rPr>
      <w:color w:val="0000FF" w:themeColor="hyperlink"/>
      <w:u w:val="single"/>
    </w:rPr>
  </w:style>
  <w:style w:type="character" w:styleId="UnresolvedMention">
    <w:name w:val="Unresolved Mention"/>
    <w:basedOn w:val="DefaultParagraphFont"/>
    <w:uiPriority w:val="99"/>
    <w:semiHidden/>
    <w:unhideWhenUsed/>
    <w:rsid w:val="00E01BCD"/>
    <w:rPr>
      <w:color w:val="605E5C"/>
      <w:shd w:val="clear" w:color="auto" w:fill="E1DFDD"/>
    </w:rPr>
  </w:style>
  <w:style w:type="paragraph" w:styleId="Header">
    <w:name w:val="header"/>
    <w:basedOn w:val="Normal"/>
    <w:link w:val="HeaderChar"/>
    <w:uiPriority w:val="99"/>
    <w:unhideWhenUsed/>
    <w:rsid w:val="0072246D"/>
    <w:pPr>
      <w:tabs>
        <w:tab w:val="center" w:pos="4680"/>
        <w:tab w:val="right" w:pos="9360"/>
      </w:tabs>
      <w:spacing w:after="0"/>
    </w:pPr>
  </w:style>
  <w:style w:type="character" w:customStyle="1" w:styleId="HeaderChar">
    <w:name w:val="Header Char"/>
    <w:basedOn w:val="DefaultParagraphFont"/>
    <w:link w:val="Header"/>
    <w:uiPriority w:val="99"/>
    <w:rsid w:val="0072246D"/>
  </w:style>
  <w:style w:type="paragraph" w:styleId="Footer">
    <w:name w:val="footer"/>
    <w:basedOn w:val="Normal"/>
    <w:link w:val="FooterChar"/>
    <w:uiPriority w:val="99"/>
    <w:unhideWhenUsed/>
    <w:rsid w:val="0072246D"/>
    <w:pPr>
      <w:tabs>
        <w:tab w:val="center" w:pos="4680"/>
        <w:tab w:val="right" w:pos="9360"/>
      </w:tabs>
      <w:spacing w:after="0"/>
    </w:pPr>
  </w:style>
  <w:style w:type="character" w:customStyle="1" w:styleId="FooterChar">
    <w:name w:val="Footer Char"/>
    <w:basedOn w:val="DefaultParagraphFont"/>
    <w:link w:val="Footer"/>
    <w:uiPriority w:val="99"/>
    <w:rsid w:val="0072246D"/>
  </w:style>
  <w:style w:type="character" w:styleId="FollowedHyperlink">
    <w:name w:val="FollowedHyperlink"/>
    <w:basedOn w:val="DefaultParagraphFont"/>
    <w:uiPriority w:val="99"/>
    <w:semiHidden/>
    <w:unhideWhenUsed/>
    <w:rsid w:val="0072246D"/>
    <w:rPr>
      <w:color w:val="800080" w:themeColor="followedHyperlink"/>
      <w:u w:val="single"/>
    </w:rPr>
  </w:style>
  <w:style w:type="character" w:customStyle="1" w:styleId="vsDraft">
    <w:name w:val="vsDraft"/>
    <w:basedOn w:val="DefaultParagraphFont"/>
    <w:rsid w:val="00980852"/>
    <w:rPr>
      <w:rFonts w:asciiTheme="minorHAnsi" w:hAnsiTheme="minorHAnsi" w:cstheme="minorHAnsi"/>
      <w:b/>
      <w:bCs/>
      <w:caps/>
      <w:noProof/>
    </w:rPr>
  </w:style>
  <w:style w:type="paragraph" w:customStyle="1" w:styleId="PartnerList">
    <w:name w:val="PartnerList"/>
    <w:basedOn w:val="Normal"/>
    <w:link w:val="PartnerListChar"/>
    <w:rsid w:val="00980852"/>
    <w:pPr>
      <w:spacing w:after="0"/>
      <w:jc w:val="both"/>
    </w:pPr>
    <w:rPr>
      <w:rFonts w:ascii="Tahoma" w:hAnsi="Tahoma" w:cstheme="minorHAnsi"/>
      <w:b/>
      <w:bCs/>
      <w:caps/>
      <w:color w:val="404040"/>
      <w:sz w:val="8"/>
    </w:rPr>
  </w:style>
  <w:style w:type="character" w:customStyle="1" w:styleId="PartnerListChar">
    <w:name w:val="PartnerList Char"/>
    <w:basedOn w:val="DefaultParagraphFont"/>
    <w:link w:val="PartnerList"/>
    <w:rsid w:val="00980852"/>
    <w:rPr>
      <w:rFonts w:ascii="Tahoma" w:hAnsi="Tahoma" w:cstheme="minorHAnsi"/>
      <w:b/>
      <w:bCs/>
      <w:caps/>
      <w:color w:val="404040"/>
      <w:sz w:val="8"/>
    </w:rPr>
  </w:style>
  <w:style w:type="character" w:customStyle="1" w:styleId="HeaderFooterOfficeInfo">
    <w:name w:val="HeaderFooterOfficeInfo"/>
    <w:basedOn w:val="DefaultParagraphFont"/>
    <w:rsid w:val="00980852"/>
    <w:rPr>
      <w:rFonts w:ascii="Montserrat" w:hAnsi="Montserrat" w:cstheme="minorHAnsi"/>
      <w:b/>
      <w:bCs/>
      <w:caps/>
      <w:noProof/>
      <w:vanish w:val="0"/>
      <w:color w:val="auto"/>
      <w:sz w:val="16"/>
    </w:rPr>
  </w:style>
  <w:style w:type="paragraph" w:customStyle="1" w:styleId="vsLastFooter">
    <w:name w:val="vsLastFooter"/>
    <w:basedOn w:val="Normal"/>
    <w:next w:val="Normal"/>
    <w:rsid w:val="00980852"/>
    <w:pPr>
      <w:widowControl w:val="0"/>
      <w:spacing w:line="240" w:lineRule="exact"/>
    </w:pPr>
    <w:rPr>
      <w:rFonts w:ascii="Arial" w:hAnsi="Arial" w:cs="Arial"/>
      <w:b/>
      <w:bCs/>
      <w:caps/>
      <w:noProof/>
      <w:color w:val="FF0000"/>
      <w:sz w:val="14"/>
    </w:rPr>
  </w:style>
  <w:style w:type="paragraph" w:styleId="Revision">
    <w:name w:val="Revision"/>
    <w:hidden/>
    <w:uiPriority w:val="99"/>
    <w:semiHidden/>
    <w:rsid w:val="00C21E9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5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529">
          <w:marLeft w:val="965"/>
          <w:marRight w:val="0"/>
          <w:marTop w:val="0"/>
          <w:marBottom w:val="240"/>
          <w:divBdr>
            <w:top w:val="none" w:sz="0" w:space="0" w:color="auto"/>
            <w:left w:val="none" w:sz="0" w:space="0" w:color="auto"/>
            <w:bottom w:val="none" w:sz="0" w:space="0" w:color="auto"/>
            <w:right w:val="none" w:sz="0" w:space="0" w:color="auto"/>
          </w:divBdr>
        </w:div>
        <w:div w:id="1562865643">
          <w:marLeft w:val="1915"/>
          <w:marRight w:val="0"/>
          <w:marTop w:val="0"/>
          <w:marBottom w:val="240"/>
          <w:divBdr>
            <w:top w:val="none" w:sz="0" w:space="0" w:color="auto"/>
            <w:left w:val="none" w:sz="0" w:space="0" w:color="auto"/>
            <w:bottom w:val="none" w:sz="0" w:space="0" w:color="auto"/>
            <w:right w:val="none" w:sz="0" w:space="0" w:color="auto"/>
          </w:divBdr>
        </w:div>
        <w:div w:id="524944714">
          <w:marLeft w:val="1915"/>
          <w:marRight w:val="0"/>
          <w:marTop w:val="0"/>
          <w:marBottom w:val="240"/>
          <w:divBdr>
            <w:top w:val="none" w:sz="0" w:space="0" w:color="auto"/>
            <w:left w:val="none" w:sz="0" w:space="0" w:color="auto"/>
            <w:bottom w:val="none" w:sz="0" w:space="0" w:color="auto"/>
            <w:right w:val="none" w:sz="0" w:space="0" w:color="auto"/>
          </w:divBdr>
        </w:div>
        <w:div w:id="646906513">
          <w:marLeft w:val="1915"/>
          <w:marRight w:val="0"/>
          <w:marTop w:val="0"/>
          <w:marBottom w:val="240"/>
          <w:divBdr>
            <w:top w:val="none" w:sz="0" w:space="0" w:color="auto"/>
            <w:left w:val="none" w:sz="0" w:space="0" w:color="auto"/>
            <w:bottom w:val="none" w:sz="0" w:space="0" w:color="auto"/>
            <w:right w:val="none" w:sz="0" w:space="0" w:color="auto"/>
          </w:divBdr>
        </w:div>
      </w:divsChild>
    </w:div>
    <w:div w:id="945697279">
      <w:bodyDiv w:val="1"/>
      <w:marLeft w:val="0"/>
      <w:marRight w:val="0"/>
      <w:marTop w:val="0"/>
      <w:marBottom w:val="0"/>
      <w:divBdr>
        <w:top w:val="none" w:sz="0" w:space="0" w:color="auto"/>
        <w:left w:val="none" w:sz="0" w:space="0" w:color="auto"/>
        <w:bottom w:val="none" w:sz="0" w:space="0" w:color="auto"/>
        <w:right w:val="none" w:sz="0" w:space="0" w:color="auto"/>
      </w:divBdr>
    </w:div>
    <w:div w:id="959798614">
      <w:bodyDiv w:val="1"/>
      <w:marLeft w:val="0"/>
      <w:marRight w:val="0"/>
      <w:marTop w:val="0"/>
      <w:marBottom w:val="0"/>
      <w:divBdr>
        <w:top w:val="none" w:sz="0" w:space="0" w:color="auto"/>
        <w:left w:val="none" w:sz="0" w:space="0" w:color="auto"/>
        <w:bottom w:val="none" w:sz="0" w:space="0" w:color="auto"/>
        <w:right w:val="none" w:sz="0" w:space="0" w:color="auto"/>
      </w:divBdr>
    </w:div>
    <w:div w:id="1026177670">
      <w:bodyDiv w:val="1"/>
      <w:marLeft w:val="0"/>
      <w:marRight w:val="0"/>
      <w:marTop w:val="0"/>
      <w:marBottom w:val="0"/>
      <w:divBdr>
        <w:top w:val="none" w:sz="0" w:space="0" w:color="auto"/>
        <w:left w:val="none" w:sz="0" w:space="0" w:color="auto"/>
        <w:bottom w:val="none" w:sz="0" w:space="0" w:color="auto"/>
        <w:right w:val="none" w:sz="0" w:space="0" w:color="auto"/>
      </w:divBdr>
    </w:div>
    <w:div w:id="1393769153">
      <w:bodyDiv w:val="1"/>
      <w:marLeft w:val="0"/>
      <w:marRight w:val="0"/>
      <w:marTop w:val="0"/>
      <w:marBottom w:val="0"/>
      <w:divBdr>
        <w:top w:val="none" w:sz="0" w:space="0" w:color="auto"/>
        <w:left w:val="none" w:sz="0" w:space="0" w:color="auto"/>
        <w:bottom w:val="none" w:sz="0" w:space="0" w:color="auto"/>
        <w:right w:val="none" w:sz="0" w:space="0" w:color="auto"/>
      </w:divBdr>
      <w:divsChild>
        <w:div w:id="2052029988">
          <w:marLeft w:val="734"/>
          <w:marRight w:val="0"/>
          <w:marTop w:val="0"/>
          <w:marBottom w:val="240"/>
          <w:divBdr>
            <w:top w:val="none" w:sz="0" w:space="0" w:color="auto"/>
            <w:left w:val="none" w:sz="0" w:space="0" w:color="auto"/>
            <w:bottom w:val="none" w:sz="0" w:space="0" w:color="auto"/>
            <w:right w:val="none" w:sz="0" w:space="0" w:color="auto"/>
          </w:divBdr>
        </w:div>
        <w:div w:id="1116024057">
          <w:marLeft w:val="734"/>
          <w:marRight w:val="0"/>
          <w:marTop w:val="0"/>
          <w:marBottom w:val="240"/>
          <w:divBdr>
            <w:top w:val="none" w:sz="0" w:space="0" w:color="auto"/>
            <w:left w:val="none" w:sz="0" w:space="0" w:color="auto"/>
            <w:bottom w:val="none" w:sz="0" w:space="0" w:color="auto"/>
            <w:right w:val="none" w:sz="0" w:space="0" w:color="auto"/>
          </w:divBdr>
        </w:div>
        <w:div w:id="197011965">
          <w:marLeft w:val="734"/>
          <w:marRight w:val="0"/>
          <w:marTop w:val="0"/>
          <w:marBottom w:val="240"/>
          <w:divBdr>
            <w:top w:val="none" w:sz="0" w:space="0" w:color="auto"/>
            <w:left w:val="none" w:sz="0" w:space="0" w:color="auto"/>
            <w:bottom w:val="none" w:sz="0" w:space="0" w:color="auto"/>
            <w:right w:val="none" w:sz="0" w:space="0" w:color="auto"/>
          </w:divBdr>
        </w:div>
      </w:divsChild>
    </w:div>
    <w:div w:id="1700277082">
      <w:bodyDiv w:val="1"/>
      <w:marLeft w:val="0"/>
      <w:marRight w:val="0"/>
      <w:marTop w:val="0"/>
      <w:marBottom w:val="0"/>
      <w:divBdr>
        <w:top w:val="none" w:sz="0" w:space="0" w:color="auto"/>
        <w:left w:val="none" w:sz="0" w:space="0" w:color="auto"/>
        <w:bottom w:val="none" w:sz="0" w:space="0" w:color="auto"/>
        <w:right w:val="none" w:sz="0" w:space="0" w:color="auto"/>
      </w:divBdr>
      <w:divsChild>
        <w:div w:id="2142335573">
          <w:marLeft w:val="734"/>
          <w:marRight w:val="0"/>
          <w:marTop w:val="0"/>
          <w:marBottom w:val="240"/>
          <w:divBdr>
            <w:top w:val="none" w:sz="0" w:space="0" w:color="auto"/>
            <w:left w:val="none" w:sz="0" w:space="0" w:color="auto"/>
            <w:bottom w:val="none" w:sz="0" w:space="0" w:color="auto"/>
            <w:right w:val="none" w:sz="0" w:space="0" w:color="auto"/>
          </w:divBdr>
        </w:div>
        <w:div w:id="1552882432">
          <w:marLeft w:val="734"/>
          <w:marRight w:val="0"/>
          <w:marTop w:val="0"/>
          <w:marBottom w:val="240"/>
          <w:divBdr>
            <w:top w:val="none" w:sz="0" w:space="0" w:color="auto"/>
            <w:left w:val="none" w:sz="0" w:space="0" w:color="auto"/>
            <w:bottom w:val="none" w:sz="0" w:space="0" w:color="auto"/>
            <w:right w:val="none" w:sz="0" w:space="0" w:color="auto"/>
          </w:divBdr>
        </w:div>
        <w:div w:id="903756569">
          <w:marLeft w:val="734"/>
          <w:marRight w:val="0"/>
          <w:marTop w:val="0"/>
          <w:marBottom w:val="240"/>
          <w:divBdr>
            <w:top w:val="none" w:sz="0" w:space="0" w:color="auto"/>
            <w:left w:val="none" w:sz="0" w:space="0" w:color="auto"/>
            <w:bottom w:val="none" w:sz="0" w:space="0" w:color="auto"/>
            <w:right w:val="none" w:sz="0" w:space="0" w:color="auto"/>
          </w:divBdr>
        </w:div>
        <w:div w:id="268008506">
          <w:marLeft w:val="734"/>
          <w:marRight w:val="0"/>
          <w:marTop w:val="0"/>
          <w:marBottom w:val="240"/>
          <w:divBdr>
            <w:top w:val="none" w:sz="0" w:space="0" w:color="auto"/>
            <w:left w:val="none" w:sz="0" w:space="0" w:color="auto"/>
            <w:bottom w:val="none" w:sz="0" w:space="0" w:color="auto"/>
            <w:right w:val="none" w:sz="0" w:space="0" w:color="auto"/>
          </w:divBdr>
        </w:div>
        <w:div w:id="483351431">
          <w:marLeft w:val="734"/>
          <w:marRight w:val="0"/>
          <w:marTop w:val="0"/>
          <w:marBottom w:val="240"/>
          <w:divBdr>
            <w:top w:val="none" w:sz="0" w:space="0" w:color="auto"/>
            <w:left w:val="none" w:sz="0" w:space="0" w:color="auto"/>
            <w:bottom w:val="none" w:sz="0" w:space="0" w:color="auto"/>
            <w:right w:val="none" w:sz="0" w:space="0" w:color="auto"/>
          </w:divBdr>
        </w:div>
      </w:divsChild>
    </w:div>
    <w:div w:id="19067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files.constantcontact.com/141902ea301/5b530f1c-0556-4cad-8913-7f39a3cf6e21.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 A c t i v e ! 4 9 9 4 5 2 1 3 . 1 < / d o c u m e n t i d >  
     < s e n d e r i d > R P A M I C O N < / s e n d e r i d >  
     < s e n d e r e m a i l > R P A M I C O N @ V O R Y S . C O M < / s e n d e r e m a i l >  
     < l a s t m o d i f i e d > 2 0 2 4 - 1 0 - 1 0 T 1 9 : 4 1 : 0 0 . 0 0 0 0 0 0 0 - 0 4 : 0 0 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1492</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Griffaton, Michael C.</dc:creator>
  <cp:keywords/>
  <dc:description/>
  <cp:lastModifiedBy>Amicon, Robin P.</cp:lastModifiedBy>
  <cp:revision>31</cp:revision>
  <dcterms:created xsi:type="dcterms:W3CDTF">2024-10-01T23:51:00Z</dcterms:created>
  <dcterms:modified xsi:type="dcterms:W3CDTF">2024-10-10T23:41:00Z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#49945213v1&lt;ACTIVE&gt; - OPRA - Notes on Adult Cannabis Use</vt:lpwstr>
  </property>
</Properties>
</file>