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66CA37D9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4F02">
        <w:rPr>
          <w:noProof/>
        </w:rPr>
        <w:t>BWC rebate programs</w:t>
      </w:r>
    </w:p>
    <w:p w14:paraId="1EC64766" w14:textId="69D2B0A1" w:rsidR="002E1197" w:rsidRDefault="00B04F02" w:rsidP="00B04F02">
      <w:pPr>
        <w:pStyle w:val="H2"/>
        <w:ind w:right="-180"/>
        <w:rPr>
          <w:rFonts w:cstheme="minorHAnsi"/>
          <w:b w:val="0"/>
          <w:bCs/>
          <w:sz w:val="20"/>
          <w:szCs w:val="20"/>
        </w:rPr>
      </w:pPr>
      <w:r w:rsidRPr="00B04F02">
        <w:rPr>
          <w:rFonts w:cstheme="minorHAnsi"/>
          <w:b w:val="0"/>
          <w:bCs/>
          <w:sz w:val="20"/>
          <w:szCs w:val="20"/>
        </w:rPr>
        <w:t>The Ohio Bur</w:t>
      </w:r>
      <w:r>
        <w:rPr>
          <w:rFonts w:cstheme="minorHAnsi"/>
          <w:b w:val="0"/>
          <w:bCs/>
          <w:sz w:val="20"/>
          <w:szCs w:val="20"/>
        </w:rPr>
        <w:t>eau</w:t>
      </w:r>
      <w:r w:rsidRPr="00B04F02">
        <w:rPr>
          <w:rFonts w:cstheme="minorHAnsi"/>
          <w:b w:val="0"/>
          <w:bCs/>
          <w:sz w:val="20"/>
          <w:szCs w:val="20"/>
        </w:rPr>
        <w:t xml:space="preserve"> of Workers</w:t>
      </w:r>
      <w:r>
        <w:rPr>
          <w:rFonts w:cstheme="minorHAnsi"/>
          <w:b w:val="0"/>
          <w:bCs/>
          <w:sz w:val="20"/>
          <w:szCs w:val="20"/>
        </w:rPr>
        <w:t>’</w:t>
      </w:r>
      <w:r w:rsidRPr="00B04F02">
        <w:rPr>
          <w:rFonts w:cstheme="minorHAnsi"/>
          <w:b w:val="0"/>
          <w:bCs/>
          <w:sz w:val="20"/>
          <w:szCs w:val="20"/>
        </w:rPr>
        <w:t xml:space="preserve"> Compensation (BWC) offers employers many different rating, bonus and rebate programs to encourage cost control, return</w:t>
      </w:r>
      <w:r w:rsidR="00FE4444">
        <w:rPr>
          <w:rFonts w:cstheme="minorHAnsi"/>
          <w:b w:val="0"/>
          <w:bCs/>
          <w:sz w:val="20"/>
          <w:szCs w:val="20"/>
        </w:rPr>
        <w:t xml:space="preserve"> </w:t>
      </w:r>
      <w:r w:rsidRPr="00B04F02">
        <w:rPr>
          <w:rFonts w:cstheme="minorHAnsi"/>
          <w:b w:val="0"/>
          <w:bCs/>
          <w:sz w:val="20"/>
          <w:szCs w:val="20"/>
        </w:rPr>
        <w:t>to</w:t>
      </w:r>
      <w:r w:rsidR="00FE4444">
        <w:rPr>
          <w:rFonts w:cstheme="minorHAnsi"/>
          <w:b w:val="0"/>
          <w:bCs/>
          <w:sz w:val="20"/>
          <w:szCs w:val="20"/>
        </w:rPr>
        <w:t xml:space="preserve"> </w:t>
      </w:r>
      <w:r w:rsidRPr="00B04F02">
        <w:rPr>
          <w:rFonts w:cstheme="minorHAnsi"/>
          <w:b w:val="0"/>
          <w:bCs/>
          <w:sz w:val="20"/>
          <w:szCs w:val="20"/>
        </w:rPr>
        <w:t>work, efficiency and safety.  If you are interest</w:t>
      </w:r>
      <w:r w:rsidR="00FE4444">
        <w:rPr>
          <w:rFonts w:cstheme="minorHAnsi"/>
          <w:b w:val="0"/>
          <w:bCs/>
          <w:sz w:val="20"/>
          <w:szCs w:val="20"/>
        </w:rPr>
        <w:t>ed</w:t>
      </w:r>
      <w:r w:rsidRPr="00B04F02">
        <w:rPr>
          <w:rFonts w:cstheme="minorHAnsi"/>
          <w:b w:val="0"/>
          <w:bCs/>
          <w:sz w:val="20"/>
          <w:szCs w:val="20"/>
        </w:rPr>
        <w:t xml:space="preserve"> in enrolling in a BWC program, or are already enrolled, here are some important deadline dates to remember. </w:t>
      </w:r>
      <w:r w:rsidR="002E1197" w:rsidRPr="002E1197">
        <w:rPr>
          <w:rFonts w:cstheme="minorHAnsi"/>
          <w:b w:val="0"/>
          <w:bCs/>
          <w:sz w:val="20"/>
          <w:szCs w:val="20"/>
        </w:rPr>
        <w:t xml:space="preserve"> </w:t>
      </w:r>
      <w:r w:rsidRPr="002E1197">
        <w:rPr>
          <w:rFonts w:cstheme="minorHAnsi"/>
          <w:b w:val="0"/>
          <w:bCs/>
          <w:sz w:val="20"/>
          <w:szCs w:val="20"/>
        </w:rPr>
        <w:t xml:space="preserve">If you have any questions, contact our Sedgwick </w:t>
      </w:r>
      <w:r>
        <w:rPr>
          <w:rFonts w:cstheme="minorHAnsi"/>
          <w:b w:val="0"/>
          <w:bCs/>
          <w:sz w:val="20"/>
          <w:szCs w:val="20"/>
        </w:rPr>
        <w:t xml:space="preserve">program manager, </w:t>
      </w:r>
      <w:r w:rsidR="00B43E02">
        <w:rPr>
          <w:rFonts w:cstheme="minorHAnsi"/>
          <w:b w:val="0"/>
          <w:bCs/>
          <w:sz w:val="20"/>
          <w:szCs w:val="20"/>
        </w:rPr>
        <w:t>David Deyo</w:t>
      </w:r>
      <w:r w:rsidRPr="00EB5759">
        <w:rPr>
          <w:rFonts w:cstheme="minorHAnsi"/>
          <w:b w:val="0"/>
          <w:bCs/>
          <w:sz w:val="20"/>
          <w:szCs w:val="20"/>
        </w:rPr>
        <w:t xml:space="preserve">, at </w:t>
      </w:r>
      <w:hyperlink r:id="rId8" w:history="1">
        <w:r w:rsidR="00B43E02" w:rsidRPr="005B1A3C">
          <w:rPr>
            <w:rStyle w:val="Hyperlink"/>
            <w:rFonts w:cstheme="minorHAnsi"/>
            <w:b w:val="0"/>
            <w:bCs/>
            <w:sz w:val="20"/>
            <w:szCs w:val="20"/>
          </w:rPr>
          <w:t>david.deyo@sedgwick.com</w:t>
        </w:r>
      </w:hyperlink>
      <w:r w:rsidR="00B43E02">
        <w:rPr>
          <w:rFonts w:cstheme="minorHAnsi"/>
          <w:b w:val="0"/>
          <w:bCs/>
          <w:sz w:val="20"/>
          <w:szCs w:val="20"/>
        </w:rPr>
        <w:t xml:space="preserve"> </w:t>
      </w:r>
      <w:r w:rsidRPr="002E1197">
        <w:rPr>
          <w:rFonts w:cstheme="minorHAnsi"/>
          <w:b w:val="0"/>
          <w:bCs/>
          <w:sz w:val="20"/>
          <w:szCs w:val="20"/>
        </w:rPr>
        <w:t>.</w:t>
      </w:r>
      <w:r>
        <w:rPr>
          <w:rFonts w:cstheme="minorHAnsi"/>
          <w:b w:val="0"/>
          <w:bCs/>
          <w:sz w:val="20"/>
          <w:szCs w:val="20"/>
        </w:rPr>
        <w:br/>
      </w:r>
    </w:p>
    <w:tbl>
      <w:tblPr>
        <w:tblW w:w="10242" w:type="dxa"/>
        <w:tblInd w:w="-72" w:type="dxa"/>
        <w:tblLook w:val="04A0" w:firstRow="1" w:lastRow="0" w:firstColumn="1" w:lastColumn="0" w:noHBand="0" w:noVBand="1"/>
      </w:tblPr>
      <w:tblGrid>
        <w:gridCol w:w="2052"/>
        <w:gridCol w:w="4950"/>
        <w:gridCol w:w="1620"/>
        <w:gridCol w:w="1620"/>
      </w:tblGrid>
      <w:tr w:rsidR="00B04F02" w:rsidRPr="00B04F02" w14:paraId="0F07BCB7" w14:textId="77777777" w:rsidTr="00B04F02">
        <w:trPr>
          <w:trHeight w:val="395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9CE6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167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Action Required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5AD6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Public Employers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2FB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Private Employers</w:t>
            </w:r>
          </w:p>
        </w:tc>
      </w:tr>
      <w:tr w:rsidR="00B04F02" w:rsidRPr="00B04F02" w14:paraId="242B49EE" w14:textId="77777777" w:rsidTr="00B04F02">
        <w:trPr>
          <w:trHeight w:val="62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70AD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hyperlink r:id="rId9" w:history="1">
              <w:r w:rsidR="00B04F02" w:rsidRPr="00B04F02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Deductible Program</w:t>
              </w:r>
            </w:hyperlink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7F87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hyperlink r:id="rId10" w:history="1">
              <w:r w:rsidR="00B04F02" w:rsidRPr="00B04F02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Application</w:t>
              </w:r>
            </w:hyperlink>
            <w:r w:rsidR="00B04F02"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deadline for re-enrolling and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4059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Jul 31, 2024</w:t>
            </w:r>
          </w:p>
          <w:p w14:paraId="3B987C29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04F6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Jan 31, 2025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(2025 rating year)</w:t>
            </w:r>
          </w:p>
        </w:tc>
      </w:tr>
      <w:tr w:rsidR="00B04F02" w:rsidRPr="00B04F02" w14:paraId="53E0C874" w14:textId="77777777" w:rsidTr="00B04F02">
        <w:trPr>
          <w:trHeight w:val="62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CE7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hyperlink r:id="rId11" w:history="1">
              <w:r w:rsidR="00B04F02" w:rsidRPr="00B04F02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Drug Free Safety Program (DFSP)</w:t>
              </w:r>
            </w:hyperlink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31A8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hyperlink r:id="rId12" w:history="1">
              <w:r w:rsidR="00B04F02" w:rsidRPr="00B04F02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Annual report</w:t>
              </w:r>
            </w:hyperlink>
            <w:r w:rsidR="00B04F02"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deadline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EEC5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Sep 30,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(2024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D568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 31, 2024 (2023 rating year)</w:t>
            </w:r>
          </w:p>
        </w:tc>
      </w:tr>
      <w:tr w:rsidR="00B04F02" w:rsidRPr="00B04F02" w14:paraId="753C3F45" w14:textId="77777777" w:rsidTr="00B04F02">
        <w:trPr>
          <w:trHeight w:val="710"/>
        </w:trPr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387" w14:textId="77777777" w:rsidR="00B04F02" w:rsidRPr="00B04F02" w:rsidRDefault="00B04F02" w:rsidP="00B04F0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A6A1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hyperlink r:id="rId13" w:history="1">
              <w:r w:rsidR="00B04F02" w:rsidRPr="00B04F02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Application</w:t>
              </w:r>
            </w:hyperlink>
            <w:r w:rsidR="00B04F02"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deadline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609B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Nov 30, 2024 (2025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E65D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May 31, 2024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(2024 rating year)</w:t>
            </w:r>
          </w:p>
        </w:tc>
      </w:tr>
      <w:tr w:rsidR="00B04F02" w:rsidRPr="00B04F02" w14:paraId="7ECBF3BC" w14:textId="77777777" w:rsidTr="00B04F02">
        <w:trPr>
          <w:trHeight w:val="818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30D4" w14:textId="77777777" w:rsidR="00B04F02" w:rsidRPr="00B04F02" w:rsidRDefault="00B04F02" w:rsidP="00B04F0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B1B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Online safety management self-assessment </w:t>
            </w:r>
            <w:hyperlink r:id="rId14" w:history="1">
              <w:r w:rsidRPr="00B04F0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(SH-26)</w:t>
              </w:r>
            </w:hyperlink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deadline and accident analysis training deadline (initial year only; new supervisors have 60 days from hire date to complete)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FFB2" w14:textId="209ED1FF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Jan 31, </w:t>
            </w:r>
            <w:proofErr w:type="gramStart"/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2025 </w:t>
            </w:r>
            <w:r w:rsidR="0093116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gramEnd"/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74A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Jul 31, 2024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(2024 rating year)</w:t>
            </w:r>
          </w:p>
        </w:tc>
      </w:tr>
      <w:tr w:rsidR="00B04F02" w:rsidRPr="00B04F02" w14:paraId="664FBC5B" w14:textId="77777777" w:rsidTr="00B04F02">
        <w:trPr>
          <w:trHeight w:val="71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7C0A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hyperlink r:id="rId15" w:history="1">
              <w:r w:rsidR="00B04F02" w:rsidRPr="00B04F02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EM Cap</w:t>
              </w:r>
            </w:hyperlink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7882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Education requirements deadline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C3DA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Sep 30,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(2024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7DFB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 31, 2024 (2023 rating year)</w:t>
            </w:r>
          </w:p>
        </w:tc>
      </w:tr>
      <w:tr w:rsidR="00B04F02" w:rsidRPr="00B04F02" w14:paraId="602D7F4F" w14:textId="77777777" w:rsidTr="00B04F02">
        <w:trPr>
          <w:trHeight w:val="71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56A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hyperlink r:id="rId16" w:history="1">
              <w:r w:rsidR="00B04F02" w:rsidRPr="00B04F02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Group Experience Rating</w:t>
              </w:r>
            </w:hyperlink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FBA1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Application deadline for re-enrolling and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2B34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May 31, 2024</w:t>
            </w:r>
          </w:p>
          <w:p w14:paraId="0B5C29F5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5B17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Nov 25, 2024 (2025 rating year)</w:t>
            </w:r>
          </w:p>
        </w:tc>
      </w:tr>
      <w:tr w:rsidR="00B04F02" w:rsidRPr="00B04F02" w14:paraId="34DDD2F1" w14:textId="77777777" w:rsidTr="00B04F02">
        <w:trPr>
          <w:trHeight w:val="71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080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hyperlink r:id="rId17" w:history="1">
              <w:r w:rsidR="00B04F02" w:rsidRPr="00B04F02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Group Retrospective Rating</w:t>
              </w:r>
            </w:hyperlink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706E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Application deadline for re-enrolling and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4154F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Jul 31,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087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Jan 31, 2025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(2025 rating year)</w:t>
            </w:r>
          </w:p>
        </w:tc>
      </w:tr>
      <w:tr w:rsidR="00B04F02" w:rsidRPr="00B04F02" w14:paraId="05553D9E" w14:textId="77777777" w:rsidTr="00B04F02">
        <w:trPr>
          <w:trHeight w:val="782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E5C" w14:textId="77777777" w:rsidR="00B04F02" w:rsidRPr="00B04F02" w:rsidRDefault="00B04F02" w:rsidP="00B04F0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Group Rating &amp; Group Retrospective Rating</w:t>
            </w:r>
            <w:proofErr w:type="gramStart"/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(</w:t>
            </w:r>
            <w:proofErr w:type="gramEnd"/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employers with a claim in the green period)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4BDA" w14:textId="77777777" w:rsidR="00B04F02" w:rsidRPr="00B04F02" w:rsidRDefault="00B04F02" w:rsidP="00B04F0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Deadline to complete 2 hours of BWC approved training or BWC's online accident analysis form and safety class and to report all training to Sedgwick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A829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Dec 31, </w:t>
            </w:r>
            <w:proofErr w:type="gramStart"/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2024</w:t>
            </w:r>
            <w:proofErr w:type="gramEnd"/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(2024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F0E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Jun 30, 2024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  <w:t>(2023 rating year)</w:t>
            </w:r>
          </w:p>
        </w:tc>
      </w:tr>
      <w:tr w:rsidR="00B04F02" w:rsidRPr="00B04F02" w14:paraId="5178817E" w14:textId="77777777" w:rsidTr="00B04F02">
        <w:trPr>
          <w:trHeight w:val="782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8C59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hyperlink r:id="rId18" w:history="1">
              <w:r w:rsidR="00B04F02" w:rsidRPr="00B04F02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Individual Retrospective Rating</w:t>
              </w:r>
            </w:hyperlink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03C7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hyperlink r:id="rId19" w:history="1">
              <w:r w:rsidR="00B04F02" w:rsidRPr="00B04F02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Application</w:t>
              </w:r>
            </w:hyperlink>
            <w:r w:rsidR="00B04F02"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deadline for re-enrolling and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D424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Jul 31,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43D1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Jan 31, 2025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(2025 rating year)</w:t>
            </w:r>
          </w:p>
        </w:tc>
      </w:tr>
      <w:tr w:rsidR="00B04F02" w:rsidRPr="00B04F02" w14:paraId="2062830D" w14:textId="77777777" w:rsidTr="00B04F02">
        <w:trPr>
          <w:trHeight w:val="728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8D14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hyperlink r:id="rId20" w:history="1">
              <w:r w:rsidR="00B04F02" w:rsidRPr="00B04F02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One Claim Program</w:t>
              </w:r>
            </w:hyperlink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E49F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hyperlink r:id="rId21" w:history="1">
              <w:r w:rsidR="00B04F02" w:rsidRPr="00B04F02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Application</w:t>
              </w:r>
            </w:hyperlink>
            <w:r w:rsidR="00B04F02"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deadline for re-enrolling and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B95FB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Jul 31,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F71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Jan 31, 2025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(2025 rating year)</w:t>
            </w:r>
          </w:p>
        </w:tc>
      </w:tr>
      <w:tr w:rsidR="00B04F02" w:rsidRPr="00B04F02" w14:paraId="3F6E9117" w14:textId="77777777" w:rsidTr="00B04F02">
        <w:trPr>
          <w:trHeight w:val="692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AC2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E7CC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Education requirements must be completed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1F33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Sep 30,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(2024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A2B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 31, 2024 (2023 rating year)</w:t>
            </w:r>
          </w:p>
        </w:tc>
      </w:tr>
      <w:bookmarkStart w:id="1" w:name="_Hlk133388500"/>
      <w:tr w:rsidR="00B04F02" w:rsidRPr="00B04F02" w14:paraId="1648F3FA" w14:textId="77777777" w:rsidTr="00B04F02">
        <w:trPr>
          <w:trHeight w:val="62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7BC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/>
            </w: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HYPERLINK "https://info.bwc.ohio.gov/wps/portal/gov/bwc/for-employers/safety-and-training/safety-councils" </w:instrText>
            </w: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B04F02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val="en-US"/>
              </w:rPr>
              <w:t>Safety Council Program</w:t>
            </w:r>
            <w:r w:rsidRPr="00B04F02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BBE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Attendance of 10 in-person safety council meetings must be completed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C5DEC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Jun 30,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(2022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F0FE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Jun 30,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(2023 rating year)</w:t>
            </w:r>
          </w:p>
        </w:tc>
      </w:tr>
      <w:tr w:rsidR="00B04F02" w:rsidRPr="00B04F02" w14:paraId="57996679" w14:textId="77777777" w:rsidTr="00B04F02">
        <w:trPr>
          <w:trHeight w:val="620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E0A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C4C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Application deadline for re-enrolling and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EEF6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Jul 31,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(2023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148F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Jul 31, 2024</w:t>
            </w: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br/>
              <w:t>(2024 rating year)</w:t>
            </w:r>
          </w:p>
        </w:tc>
      </w:tr>
      <w:bookmarkEnd w:id="1"/>
      <w:tr w:rsidR="00B04F02" w:rsidRPr="00B04F02" w14:paraId="2F888F9B" w14:textId="77777777" w:rsidTr="00B04F02">
        <w:trPr>
          <w:trHeight w:val="6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676" w14:textId="77777777" w:rsidR="00B04F02" w:rsidRPr="00B04F02" w:rsidRDefault="00B04F02" w:rsidP="00B04F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begin"/>
            </w: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instrText xml:space="preserve"> HYPERLINK "https://info.bwc.ohio.gov/wps/portal/gov/bwc/for-employers/workers-compensation-coverage/rates-and-bonuses/transitional-work-bonus-program" </w:instrText>
            </w: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</w:r>
            <w:r w:rsidRPr="00B04F02">
              <w:rPr>
                <w:rFonts w:ascii="Calibri" w:eastAsia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B04F02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val="en-US"/>
              </w:rPr>
              <w:t>Transitional Work Bonus (TWB)</w:t>
            </w:r>
            <w:r w:rsidRPr="00B04F02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72ED" w14:textId="77777777" w:rsidR="00B04F02" w:rsidRPr="00B04F02" w:rsidRDefault="00B43E02" w:rsidP="00B0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hyperlink r:id="rId22" w:history="1">
              <w:r w:rsidR="00B04F02" w:rsidRPr="00B04F02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val="en-US"/>
                </w:rPr>
                <w:t>Application</w:t>
              </w:r>
            </w:hyperlink>
            <w:r w:rsidR="00B04F02"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deadline for new participants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C191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  <w:t>Nov 30, 2024 (2025 rating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BEDA" w14:textId="77777777" w:rsidR="00B04F02" w:rsidRPr="00B04F02" w:rsidRDefault="00B04F02" w:rsidP="00B04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/>
              </w:rPr>
            </w:pP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May 31, 2024</w:t>
            </w:r>
            <w:r w:rsidRPr="00B04F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br/>
              <w:t>(2024 rating year)</w:t>
            </w:r>
          </w:p>
        </w:tc>
      </w:tr>
    </w:tbl>
    <w:p w14:paraId="46391CC8" w14:textId="2C134F1A" w:rsidR="00C53BFA" w:rsidRDefault="00C53BFA" w:rsidP="00B04F02">
      <w:pPr>
        <w:pStyle w:val="H2"/>
        <w:ind w:right="0"/>
      </w:pPr>
    </w:p>
    <w:sectPr w:rsidR="00C53BFA" w:rsidSect="00B04F02">
      <w:headerReference w:type="default" r:id="rId23"/>
      <w:footerReference w:type="default" r:id="rId24"/>
      <w:headerReference w:type="first" r:id="rId25"/>
      <w:pgSz w:w="12240" w:h="15840"/>
      <w:pgMar w:top="1440" w:right="1440" w:bottom="576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6A2E" w14:textId="77777777" w:rsidR="00871514" w:rsidRDefault="00871514">
      <w:pPr>
        <w:spacing w:after="0" w:line="240" w:lineRule="auto"/>
      </w:pPr>
      <w:r>
        <w:separator/>
      </w:r>
    </w:p>
  </w:endnote>
  <w:endnote w:type="continuationSeparator" w:id="0">
    <w:p w14:paraId="746712B5" w14:textId="77777777" w:rsidR="00871514" w:rsidRDefault="0087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FE4444" w:rsidRPr="001A015F" w:rsidRDefault="00FE4444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485E" w14:textId="77777777" w:rsidR="00871514" w:rsidRDefault="00871514">
      <w:pPr>
        <w:spacing w:after="0" w:line="240" w:lineRule="auto"/>
      </w:pPr>
      <w:r>
        <w:separator/>
      </w:r>
    </w:p>
  </w:footnote>
  <w:footnote w:type="continuationSeparator" w:id="0">
    <w:p w14:paraId="18EB38D7" w14:textId="77777777" w:rsidR="00871514" w:rsidRDefault="0087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FE4444" w:rsidRPr="001A015F" w:rsidRDefault="00FE4444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FE4444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85969">
    <w:abstractNumId w:val="0"/>
  </w:num>
  <w:num w:numId="2" w16cid:durableId="1401099231">
    <w:abstractNumId w:val="3"/>
  </w:num>
  <w:num w:numId="3" w16cid:durableId="917599560">
    <w:abstractNumId w:val="2"/>
  </w:num>
  <w:num w:numId="4" w16cid:durableId="2136873756">
    <w:abstractNumId w:val="4"/>
  </w:num>
  <w:num w:numId="5" w16cid:durableId="31229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156639"/>
    <w:rsid w:val="00183EC0"/>
    <w:rsid w:val="00282D6D"/>
    <w:rsid w:val="002E1197"/>
    <w:rsid w:val="004308A6"/>
    <w:rsid w:val="00464BDC"/>
    <w:rsid w:val="00482436"/>
    <w:rsid w:val="004A33CB"/>
    <w:rsid w:val="004A6675"/>
    <w:rsid w:val="004C76F5"/>
    <w:rsid w:val="005C55C5"/>
    <w:rsid w:val="00632D73"/>
    <w:rsid w:val="00650C5D"/>
    <w:rsid w:val="0068539C"/>
    <w:rsid w:val="006B7AED"/>
    <w:rsid w:val="007A061C"/>
    <w:rsid w:val="00871514"/>
    <w:rsid w:val="00891ACB"/>
    <w:rsid w:val="008C3461"/>
    <w:rsid w:val="00931163"/>
    <w:rsid w:val="009429DF"/>
    <w:rsid w:val="009E6FD9"/>
    <w:rsid w:val="00AD4C08"/>
    <w:rsid w:val="00AF193B"/>
    <w:rsid w:val="00B04F02"/>
    <w:rsid w:val="00B43E02"/>
    <w:rsid w:val="00B54368"/>
    <w:rsid w:val="00B7732D"/>
    <w:rsid w:val="00C531A9"/>
    <w:rsid w:val="00C53BFA"/>
    <w:rsid w:val="00CF4EC0"/>
    <w:rsid w:val="00D41B4B"/>
    <w:rsid w:val="00D454E1"/>
    <w:rsid w:val="00D90A63"/>
    <w:rsid w:val="00D93E3B"/>
    <w:rsid w:val="00D94849"/>
    <w:rsid w:val="00E025BA"/>
    <w:rsid w:val="00E34FF8"/>
    <w:rsid w:val="00EB5759"/>
    <w:rsid w:val="00EC65CC"/>
    <w:rsid w:val="00ED1F7B"/>
    <w:rsid w:val="00EF79A0"/>
    <w:rsid w:val="00FD6BFF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eyo@sedgwick.com" TargetMode="External"/><Relationship Id="rId13" Type="http://schemas.openxmlformats.org/officeDocument/2006/relationships/hyperlink" Target="https://www.bwc.ohio.gov/employer/forms/dfsp/u140/default.aspx" TargetMode="External"/><Relationship Id="rId18" Type="http://schemas.openxmlformats.org/officeDocument/2006/relationships/hyperlink" Target="https://info.bwc.ohio.gov/wps/portal/gov/bwc/for-employers/workers-compensation-coverage/rates-and-bonuses/individual-retrospective-rating-progra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wc.ohio.gov/employer/forms/OCPApplication/Default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wc.ohio.gov/employer/forms/dfsp/annualreport3/default.aspx" TargetMode="External"/><Relationship Id="rId17" Type="http://schemas.openxmlformats.org/officeDocument/2006/relationships/hyperlink" Target="https://info.bwc.ohio.gov/wps/portal/gov/bwc/for-employers/workers-compensation-coverage/rates-and-bonuses/group-retrospective-rating-progra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fo.bwc.ohio.gov/wps/portal/gov/bwc/for-employers/workers-compensation-coverage/rates-and-bonuses/group-experience-rating-program" TargetMode="External"/><Relationship Id="rId20" Type="http://schemas.openxmlformats.org/officeDocument/2006/relationships/hyperlink" Target="https://info.bwc.ohio.gov/wps/portal/gov/bwc/for-employers/workers-compensation-coverage/rates-and-bonuses/one-claim-prog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bwc.ohio.gov/wps/portal/gov/bwc/for-employers/workers-compensation-coverage/rates-and-bonuses/drug-free-safety-progra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fo.bwc.ohio.gov/wps/portal/gov/bwc/for-employers/workers-compensation-coverage/rates-and-bonuses/em-cap-progra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wc.ohio.gov/employer/forms/deductible/default.asp" TargetMode="External"/><Relationship Id="rId19" Type="http://schemas.openxmlformats.org/officeDocument/2006/relationships/hyperlink" Target="https://www.bwc.ohio.gov/employer/forms/retrorating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bwc.ohio.gov/wps/portal/gov/bwc/for-employers/workers-compensation-coverage/rates-and-bonuses/deductible-program" TargetMode="External"/><Relationship Id="rId14" Type="http://schemas.openxmlformats.org/officeDocument/2006/relationships/hyperlink" Target="https://www.bwc.ohio.gov/employer/forms/SafetyMgtSelfAssessment/Default.aspx" TargetMode="External"/><Relationship Id="rId22" Type="http://schemas.openxmlformats.org/officeDocument/2006/relationships/hyperlink" Target="https://www.bwc.ohio.gov/employer/forms/TransitionalWork/bonus/Default.aspx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2</cp:revision>
  <cp:lastPrinted>2021-06-08T16:18:00Z</cp:lastPrinted>
  <dcterms:created xsi:type="dcterms:W3CDTF">2024-06-03T15:54:00Z</dcterms:created>
  <dcterms:modified xsi:type="dcterms:W3CDTF">2024-06-03T15:54:00Z</dcterms:modified>
</cp:coreProperties>
</file>