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64089" w14:textId="7C362960" w:rsidR="00C53BFA" w:rsidRPr="00CF2E0B" w:rsidRDefault="00C53BFA" w:rsidP="00C53BFA">
      <w:pPr>
        <w:pStyle w:val="Pre-title"/>
      </w:pPr>
    </w:p>
    <w:p w14:paraId="1216B23F" w14:textId="39D9442C" w:rsidR="00C53BFA" w:rsidRPr="009966AB" w:rsidRDefault="00C53BFA" w:rsidP="00F820AB">
      <w:pPr>
        <w:pStyle w:val="H1"/>
        <w:spacing w:after="400"/>
        <w:ind w:right="2430"/>
      </w:pPr>
      <w:bookmarkStart w:id="0" w:name="_mjrr2kp9be2e" w:colFirst="0" w:colLast="0"/>
      <w:bookmarkEnd w:id="0"/>
      <w:r w:rsidRPr="009966AB">
        <w:rPr>
          <w:noProof/>
        </w:rPr>
        <w:drawing>
          <wp:anchor distT="0" distB="0" distL="0" distR="0" simplePos="0" relativeHeight="251659264" behindDoc="0" locked="0" layoutInCell="1" hidden="0" allowOverlap="1" wp14:anchorId="0C0138B3" wp14:editId="25E8E71F">
            <wp:simplePos x="0" y="0"/>
            <wp:positionH relativeFrom="column">
              <wp:posOffset>-962024</wp:posOffset>
            </wp:positionH>
            <wp:positionV relativeFrom="paragraph">
              <wp:posOffset>53975</wp:posOffset>
            </wp:positionV>
            <wp:extent cx="747713" cy="245752"/>
            <wp:effectExtent l="0" t="0" r="0" b="0"/>
            <wp:wrapSquare wrapText="bothSides" distT="0" distB="0" distL="0" distR="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747713" cy="245752"/>
                    </a:xfrm>
                    <a:prstGeom prst="rect">
                      <a:avLst/>
                    </a:prstGeom>
                    <a:ln/>
                  </pic:spPr>
                </pic:pic>
              </a:graphicData>
            </a:graphic>
          </wp:anchor>
        </w:drawing>
      </w:r>
      <w:r w:rsidR="006E7E39">
        <w:rPr>
          <w:noProof/>
        </w:rPr>
        <w:t>Warehouse safety</w:t>
      </w:r>
    </w:p>
    <w:p w14:paraId="337BA1C5" w14:textId="77777777" w:rsidR="006E7E39" w:rsidRPr="006E7E39" w:rsidRDefault="006E7E39" w:rsidP="006E7E39">
      <w:pPr>
        <w:pStyle w:val="PlainText"/>
        <w:rPr>
          <w:color w:val="000000" w:themeColor="text1"/>
          <w:sz w:val="20"/>
          <w:szCs w:val="20"/>
        </w:rPr>
      </w:pPr>
      <w:r w:rsidRPr="006E7E39">
        <w:rPr>
          <w:color w:val="000000" w:themeColor="text1"/>
          <w:sz w:val="20"/>
          <w:szCs w:val="20"/>
        </w:rPr>
        <w:t xml:space="preserve">You may have seen, over the years, an increase in warehouse operations in your area.  This is due to the industry’s significant growth since 2011.  According to the Occupational Safety and Health Administration (OSHA), warehousing and distribution facilities have experienced a surge in employment from 668,900 to 1,713,900.  The study included industries in warehousing and distribution centers, mail/postal processing and distribution centers and parcel delivery/courier services.  Unfortunately, the increase in employment has also shown an increase in employee injuries. </w:t>
      </w:r>
    </w:p>
    <w:p w14:paraId="28F9DC68" w14:textId="77777777" w:rsidR="006E7E39" w:rsidRPr="006E7E39" w:rsidRDefault="006E7E39" w:rsidP="006E7E39">
      <w:pPr>
        <w:pStyle w:val="PlainText"/>
        <w:rPr>
          <w:color w:val="000000" w:themeColor="text1"/>
          <w:sz w:val="20"/>
          <w:szCs w:val="20"/>
        </w:rPr>
      </w:pPr>
    </w:p>
    <w:p w14:paraId="14895375" w14:textId="77777777" w:rsidR="006E7E39" w:rsidRPr="006E7E39" w:rsidRDefault="006E7E39" w:rsidP="006E7E39">
      <w:pPr>
        <w:pStyle w:val="PlainText"/>
        <w:rPr>
          <w:color w:val="000000" w:themeColor="text1"/>
          <w:sz w:val="20"/>
          <w:szCs w:val="20"/>
        </w:rPr>
      </w:pPr>
      <w:r w:rsidRPr="006E7E39">
        <w:rPr>
          <w:color w:val="000000" w:themeColor="text1"/>
          <w:sz w:val="20"/>
          <w:szCs w:val="20"/>
        </w:rPr>
        <w:t>From 2017 to 2021, the average incidence rate of nonfatal occupational injuries and illnesses and the average days away restricted or transferred rate (also known as DART) were significantly higher than the private general industry rate.  The Private Industry Rate showed a recordable case rate of 2.76 and a total DART rate of 1.6.  The warehouse industry average showed a total recordable case rate of 4.17 and a total DART rate of 3.64.  Check to see how your Injury and DART Rate compare.</w:t>
      </w:r>
    </w:p>
    <w:p w14:paraId="73536287" w14:textId="77777777" w:rsidR="006E7E39" w:rsidRPr="006E7E39" w:rsidRDefault="006E7E39" w:rsidP="006E7E39">
      <w:pPr>
        <w:pStyle w:val="PlainText"/>
        <w:rPr>
          <w:color w:val="000000" w:themeColor="text1"/>
          <w:sz w:val="20"/>
          <w:szCs w:val="20"/>
        </w:rPr>
      </w:pPr>
      <w:r w:rsidRPr="006E7E39">
        <w:rPr>
          <w:color w:val="000000" w:themeColor="text1"/>
          <w:sz w:val="20"/>
          <w:szCs w:val="20"/>
        </w:rPr>
        <w:t xml:space="preserve"> </w:t>
      </w:r>
    </w:p>
    <w:p w14:paraId="60F7C9A1" w14:textId="77777777" w:rsidR="006E7E39" w:rsidRPr="006E7E39" w:rsidRDefault="006E7E39" w:rsidP="006E7E39">
      <w:pPr>
        <w:pStyle w:val="PlainText"/>
        <w:rPr>
          <w:color w:val="000000" w:themeColor="text1"/>
          <w:sz w:val="20"/>
          <w:szCs w:val="20"/>
        </w:rPr>
      </w:pPr>
      <w:r w:rsidRPr="006E7E39">
        <w:rPr>
          <w:color w:val="000000" w:themeColor="text1"/>
          <w:sz w:val="20"/>
          <w:szCs w:val="20"/>
        </w:rPr>
        <w:t>With the increase in injuries, it is essential to ensure you have implemented the appropriate safety programs and trained employees on hazard identification and resolution.  To get an idea of what those warehouse hazards are, OSHA performed several inspections over the years and came up with the following areas of concern: powered industrial vehicles; slip, trip, and fall hazards; blocked aisles/means of egress; heat hazards; and ergonomic hazards.  Although this is only part of the list, it can help provide a starting point for identification of hazards in your organization.</w:t>
      </w:r>
    </w:p>
    <w:p w14:paraId="1CFF179B" w14:textId="77777777" w:rsidR="006E7E39" w:rsidRPr="006E7E39" w:rsidRDefault="006E7E39" w:rsidP="006E7E39">
      <w:pPr>
        <w:pStyle w:val="PlainText"/>
        <w:rPr>
          <w:color w:val="000000" w:themeColor="text1"/>
          <w:sz w:val="20"/>
          <w:szCs w:val="20"/>
        </w:rPr>
      </w:pPr>
    </w:p>
    <w:p w14:paraId="0139614A" w14:textId="77777777" w:rsidR="006E7E39" w:rsidRPr="006E7E39" w:rsidRDefault="006E7E39" w:rsidP="006E7E39">
      <w:pPr>
        <w:pStyle w:val="PlainText"/>
        <w:rPr>
          <w:color w:val="000000" w:themeColor="text1"/>
          <w:sz w:val="20"/>
          <w:szCs w:val="20"/>
        </w:rPr>
      </w:pPr>
      <w:r w:rsidRPr="006E7E39">
        <w:rPr>
          <w:color w:val="000000" w:themeColor="text1"/>
          <w:sz w:val="20"/>
          <w:szCs w:val="20"/>
        </w:rPr>
        <w:t>Below are some potential solutions to those hazards.</w:t>
      </w:r>
    </w:p>
    <w:p w14:paraId="11560E68" w14:textId="77777777" w:rsidR="006E7E39" w:rsidRPr="006E7E39" w:rsidRDefault="006E7E39" w:rsidP="006E7E39">
      <w:pPr>
        <w:pStyle w:val="PlainText"/>
        <w:rPr>
          <w:color w:val="000000" w:themeColor="text1"/>
          <w:sz w:val="20"/>
          <w:szCs w:val="20"/>
        </w:rPr>
      </w:pPr>
      <w:r w:rsidRPr="006E7E39">
        <w:rPr>
          <w:color w:val="000000" w:themeColor="text1"/>
          <w:sz w:val="20"/>
          <w:szCs w:val="20"/>
        </w:rPr>
        <w:t xml:space="preserve"> </w:t>
      </w:r>
    </w:p>
    <w:p w14:paraId="2D7359F1" w14:textId="77777777" w:rsidR="006E7E39" w:rsidRPr="006E7E39" w:rsidRDefault="006E7E39" w:rsidP="006E7E39">
      <w:pPr>
        <w:pStyle w:val="PlainText"/>
        <w:numPr>
          <w:ilvl w:val="0"/>
          <w:numId w:val="32"/>
        </w:numPr>
        <w:rPr>
          <w:color w:val="000000" w:themeColor="text1"/>
          <w:sz w:val="20"/>
          <w:szCs w:val="20"/>
        </w:rPr>
      </w:pPr>
      <w:r w:rsidRPr="006E7E39">
        <w:rPr>
          <w:color w:val="000000" w:themeColor="text1"/>
          <w:sz w:val="20"/>
          <w:szCs w:val="20"/>
        </w:rPr>
        <w:t>Powered Industrial Vehicles (PIV’s) Hazards</w:t>
      </w:r>
    </w:p>
    <w:p w14:paraId="3D4E2D55" w14:textId="77777777" w:rsidR="006E7E39" w:rsidRPr="006E7E39" w:rsidRDefault="006E7E39" w:rsidP="006E7E39">
      <w:pPr>
        <w:pStyle w:val="PlainText"/>
        <w:numPr>
          <w:ilvl w:val="1"/>
          <w:numId w:val="32"/>
        </w:numPr>
        <w:rPr>
          <w:color w:val="000000" w:themeColor="text1"/>
          <w:sz w:val="20"/>
          <w:szCs w:val="20"/>
        </w:rPr>
      </w:pPr>
      <w:r w:rsidRPr="006E7E39">
        <w:rPr>
          <w:color w:val="000000" w:themeColor="text1"/>
          <w:sz w:val="20"/>
          <w:szCs w:val="20"/>
        </w:rPr>
        <w:t>All employees operating PIVs must be adequately trained.</w:t>
      </w:r>
    </w:p>
    <w:p w14:paraId="7B2DEF9A" w14:textId="77777777" w:rsidR="006E7E39" w:rsidRPr="006E7E39" w:rsidRDefault="006E7E39" w:rsidP="006E7E39">
      <w:pPr>
        <w:pStyle w:val="PlainText"/>
        <w:numPr>
          <w:ilvl w:val="1"/>
          <w:numId w:val="32"/>
        </w:numPr>
        <w:rPr>
          <w:color w:val="000000" w:themeColor="text1"/>
          <w:sz w:val="20"/>
          <w:szCs w:val="20"/>
        </w:rPr>
      </w:pPr>
      <w:r w:rsidRPr="006E7E39">
        <w:rPr>
          <w:color w:val="000000" w:themeColor="text1"/>
          <w:sz w:val="20"/>
          <w:szCs w:val="20"/>
        </w:rPr>
        <w:t>Never exceed the rated load of the PIV and ensure it is stable.</w:t>
      </w:r>
    </w:p>
    <w:p w14:paraId="2C4DE7AC" w14:textId="77777777" w:rsidR="006E7E39" w:rsidRPr="006E7E39" w:rsidRDefault="006E7E39" w:rsidP="006E7E39">
      <w:pPr>
        <w:pStyle w:val="PlainText"/>
        <w:numPr>
          <w:ilvl w:val="1"/>
          <w:numId w:val="32"/>
        </w:numPr>
        <w:rPr>
          <w:color w:val="000000" w:themeColor="text1"/>
          <w:sz w:val="20"/>
          <w:szCs w:val="20"/>
        </w:rPr>
      </w:pPr>
      <w:r w:rsidRPr="006E7E39">
        <w:rPr>
          <w:color w:val="000000" w:themeColor="text1"/>
          <w:sz w:val="20"/>
          <w:szCs w:val="20"/>
        </w:rPr>
        <w:t>Watch for pedestrians and observe the speed limit.</w:t>
      </w:r>
    </w:p>
    <w:p w14:paraId="43BD8DB9" w14:textId="77777777" w:rsidR="006E7E39" w:rsidRPr="006E7E39" w:rsidRDefault="006E7E39" w:rsidP="006E7E39">
      <w:pPr>
        <w:pStyle w:val="PlainText"/>
        <w:numPr>
          <w:ilvl w:val="1"/>
          <w:numId w:val="32"/>
        </w:numPr>
        <w:rPr>
          <w:color w:val="000000" w:themeColor="text1"/>
          <w:sz w:val="20"/>
          <w:szCs w:val="20"/>
        </w:rPr>
      </w:pPr>
      <w:r w:rsidRPr="006E7E39">
        <w:rPr>
          <w:color w:val="000000" w:themeColor="text1"/>
          <w:sz w:val="20"/>
          <w:szCs w:val="20"/>
        </w:rPr>
        <w:t>Use horns at cross aisles and obstructed areas.</w:t>
      </w:r>
    </w:p>
    <w:p w14:paraId="59F2BCAF" w14:textId="77777777" w:rsidR="006E7E39" w:rsidRPr="006E7E39" w:rsidRDefault="006E7E39" w:rsidP="006E7E39">
      <w:pPr>
        <w:pStyle w:val="PlainText"/>
        <w:numPr>
          <w:ilvl w:val="1"/>
          <w:numId w:val="32"/>
        </w:numPr>
        <w:rPr>
          <w:color w:val="000000" w:themeColor="text1"/>
          <w:sz w:val="20"/>
          <w:szCs w:val="20"/>
        </w:rPr>
      </w:pPr>
      <w:r w:rsidRPr="006E7E39">
        <w:rPr>
          <w:color w:val="000000" w:themeColor="text1"/>
          <w:sz w:val="20"/>
          <w:szCs w:val="20"/>
        </w:rPr>
        <w:t>Never, ever give rides to passengers.</w:t>
      </w:r>
    </w:p>
    <w:p w14:paraId="503D748B" w14:textId="77777777" w:rsidR="006E7E39" w:rsidRPr="006E7E39" w:rsidRDefault="006E7E39" w:rsidP="006E7E39">
      <w:pPr>
        <w:pStyle w:val="PlainText"/>
        <w:numPr>
          <w:ilvl w:val="0"/>
          <w:numId w:val="32"/>
        </w:numPr>
        <w:rPr>
          <w:color w:val="000000" w:themeColor="text1"/>
          <w:sz w:val="20"/>
          <w:szCs w:val="20"/>
        </w:rPr>
      </w:pPr>
      <w:r w:rsidRPr="006E7E39">
        <w:rPr>
          <w:color w:val="000000" w:themeColor="text1"/>
          <w:sz w:val="20"/>
          <w:szCs w:val="20"/>
        </w:rPr>
        <w:t>Slips, Trips and Fall Hazards</w:t>
      </w:r>
    </w:p>
    <w:p w14:paraId="60ACD2B5" w14:textId="77777777" w:rsidR="006E7E39" w:rsidRPr="006E7E39" w:rsidRDefault="006E7E39" w:rsidP="006E7E39">
      <w:pPr>
        <w:pStyle w:val="PlainText"/>
        <w:numPr>
          <w:ilvl w:val="1"/>
          <w:numId w:val="32"/>
        </w:numPr>
        <w:rPr>
          <w:color w:val="000000" w:themeColor="text1"/>
          <w:sz w:val="20"/>
          <w:szCs w:val="20"/>
        </w:rPr>
      </w:pPr>
      <w:r w:rsidRPr="006E7E39">
        <w:rPr>
          <w:color w:val="000000" w:themeColor="text1"/>
          <w:sz w:val="20"/>
          <w:szCs w:val="20"/>
        </w:rPr>
        <w:t xml:space="preserve">Train workers on fall protection systems and ensure they are appropriately used.  </w:t>
      </w:r>
    </w:p>
    <w:p w14:paraId="611C5E44" w14:textId="77777777" w:rsidR="006E7E39" w:rsidRPr="006E7E39" w:rsidRDefault="006E7E39" w:rsidP="006E7E39">
      <w:pPr>
        <w:pStyle w:val="PlainText"/>
        <w:numPr>
          <w:ilvl w:val="1"/>
          <w:numId w:val="32"/>
        </w:numPr>
        <w:rPr>
          <w:color w:val="000000" w:themeColor="text1"/>
          <w:sz w:val="20"/>
          <w:szCs w:val="20"/>
        </w:rPr>
      </w:pPr>
      <w:r w:rsidRPr="006E7E39">
        <w:rPr>
          <w:color w:val="000000" w:themeColor="text1"/>
          <w:sz w:val="20"/>
          <w:szCs w:val="20"/>
        </w:rPr>
        <w:t xml:space="preserve">Keep floors and aisles clear of trip hazards such as cords, pallets, </w:t>
      </w:r>
      <w:proofErr w:type="gramStart"/>
      <w:r w:rsidRPr="006E7E39">
        <w:rPr>
          <w:color w:val="000000" w:themeColor="text1"/>
          <w:sz w:val="20"/>
          <w:szCs w:val="20"/>
        </w:rPr>
        <w:t>boxes</w:t>
      </w:r>
      <w:proofErr w:type="gramEnd"/>
      <w:r w:rsidRPr="006E7E39">
        <w:rPr>
          <w:color w:val="000000" w:themeColor="text1"/>
          <w:sz w:val="20"/>
          <w:szCs w:val="20"/>
        </w:rPr>
        <w:t xml:space="preserve"> and hoses.</w:t>
      </w:r>
    </w:p>
    <w:p w14:paraId="185941DA" w14:textId="77777777" w:rsidR="006E7E39" w:rsidRPr="006E7E39" w:rsidRDefault="006E7E39" w:rsidP="006E7E39">
      <w:pPr>
        <w:pStyle w:val="PlainText"/>
        <w:numPr>
          <w:ilvl w:val="1"/>
          <w:numId w:val="32"/>
        </w:numPr>
        <w:rPr>
          <w:color w:val="000000" w:themeColor="text1"/>
          <w:sz w:val="20"/>
          <w:szCs w:val="20"/>
        </w:rPr>
      </w:pPr>
      <w:r w:rsidRPr="006E7E39">
        <w:rPr>
          <w:color w:val="000000" w:themeColor="text1"/>
          <w:sz w:val="20"/>
          <w:szCs w:val="20"/>
        </w:rPr>
        <w:t>Ensure spills or wet areas are cleaned up as soon as possible.</w:t>
      </w:r>
    </w:p>
    <w:p w14:paraId="3340184B" w14:textId="77777777" w:rsidR="006E7E39" w:rsidRPr="006E7E39" w:rsidRDefault="006E7E39" w:rsidP="006E7E39">
      <w:pPr>
        <w:pStyle w:val="PlainText"/>
        <w:numPr>
          <w:ilvl w:val="1"/>
          <w:numId w:val="32"/>
        </w:numPr>
        <w:rPr>
          <w:color w:val="000000" w:themeColor="text1"/>
          <w:sz w:val="20"/>
          <w:szCs w:val="20"/>
        </w:rPr>
      </w:pPr>
      <w:r w:rsidRPr="006E7E39">
        <w:rPr>
          <w:color w:val="000000" w:themeColor="text1"/>
          <w:sz w:val="20"/>
          <w:szCs w:val="20"/>
        </w:rPr>
        <w:t xml:space="preserve">Ladders should be inspected before use and always used properly.  Do not allow ladders to be used as platforms or placed on boxes, </w:t>
      </w:r>
      <w:proofErr w:type="gramStart"/>
      <w:r w:rsidRPr="006E7E39">
        <w:rPr>
          <w:color w:val="000000" w:themeColor="text1"/>
          <w:sz w:val="20"/>
          <w:szCs w:val="20"/>
        </w:rPr>
        <w:t>barrels</w:t>
      </w:r>
      <w:proofErr w:type="gramEnd"/>
      <w:r w:rsidRPr="006E7E39">
        <w:rPr>
          <w:color w:val="000000" w:themeColor="text1"/>
          <w:sz w:val="20"/>
          <w:szCs w:val="20"/>
        </w:rPr>
        <w:t xml:space="preserve"> or pallets to obtain additional height.</w:t>
      </w:r>
    </w:p>
    <w:p w14:paraId="3CF0D5C1" w14:textId="77777777" w:rsidR="006E7E39" w:rsidRPr="006E7E39" w:rsidRDefault="006E7E39" w:rsidP="006E7E39">
      <w:pPr>
        <w:pStyle w:val="PlainText"/>
        <w:numPr>
          <w:ilvl w:val="0"/>
          <w:numId w:val="32"/>
        </w:numPr>
        <w:rPr>
          <w:color w:val="000000" w:themeColor="text1"/>
          <w:sz w:val="20"/>
          <w:szCs w:val="20"/>
        </w:rPr>
      </w:pPr>
      <w:r w:rsidRPr="006E7E39">
        <w:rPr>
          <w:color w:val="000000" w:themeColor="text1"/>
          <w:sz w:val="20"/>
          <w:szCs w:val="20"/>
        </w:rPr>
        <w:t>Blocked Aisles/Means of Egress Hazards</w:t>
      </w:r>
    </w:p>
    <w:p w14:paraId="7E452527" w14:textId="77777777" w:rsidR="006E7E39" w:rsidRPr="006E7E39" w:rsidRDefault="006E7E39" w:rsidP="006E7E39">
      <w:pPr>
        <w:pStyle w:val="PlainText"/>
        <w:numPr>
          <w:ilvl w:val="1"/>
          <w:numId w:val="32"/>
        </w:numPr>
        <w:rPr>
          <w:color w:val="000000" w:themeColor="text1"/>
          <w:sz w:val="20"/>
          <w:szCs w:val="20"/>
        </w:rPr>
      </w:pPr>
      <w:r w:rsidRPr="006E7E39">
        <w:rPr>
          <w:color w:val="000000" w:themeColor="text1"/>
          <w:sz w:val="20"/>
          <w:szCs w:val="20"/>
        </w:rPr>
        <w:t>Fire extinguishers, eye wash/safety shower stations and electrical boxes should always remain clear and accessible.  Best management practices suggest three feet of clearance.</w:t>
      </w:r>
    </w:p>
    <w:p w14:paraId="3DAF336B" w14:textId="77777777" w:rsidR="006E7E39" w:rsidRPr="006E7E39" w:rsidRDefault="006E7E39" w:rsidP="006E7E39">
      <w:pPr>
        <w:pStyle w:val="PlainText"/>
        <w:numPr>
          <w:ilvl w:val="1"/>
          <w:numId w:val="32"/>
        </w:numPr>
        <w:rPr>
          <w:color w:val="000000" w:themeColor="text1"/>
          <w:sz w:val="20"/>
          <w:szCs w:val="20"/>
        </w:rPr>
      </w:pPr>
      <w:r w:rsidRPr="006E7E39">
        <w:rPr>
          <w:color w:val="000000" w:themeColor="text1"/>
          <w:sz w:val="20"/>
          <w:szCs w:val="20"/>
        </w:rPr>
        <w:t>Ensure exit doors are kept clear in the event of an evacuation.</w:t>
      </w:r>
    </w:p>
    <w:p w14:paraId="0554593B" w14:textId="77777777" w:rsidR="006E7E39" w:rsidRPr="006E7E39" w:rsidRDefault="006E7E39" w:rsidP="006E7E39">
      <w:pPr>
        <w:pStyle w:val="PlainText"/>
        <w:numPr>
          <w:ilvl w:val="1"/>
          <w:numId w:val="32"/>
        </w:numPr>
        <w:rPr>
          <w:color w:val="000000" w:themeColor="text1"/>
          <w:sz w:val="20"/>
          <w:szCs w:val="20"/>
        </w:rPr>
      </w:pPr>
      <w:r w:rsidRPr="006E7E39">
        <w:rPr>
          <w:color w:val="000000" w:themeColor="text1"/>
          <w:sz w:val="20"/>
          <w:szCs w:val="20"/>
        </w:rPr>
        <w:t>Check emergency lighting for proper functionality.</w:t>
      </w:r>
    </w:p>
    <w:p w14:paraId="0FEFD93E" w14:textId="77777777" w:rsidR="006E7E39" w:rsidRPr="006E7E39" w:rsidRDefault="006E7E39" w:rsidP="006E7E39">
      <w:pPr>
        <w:pStyle w:val="PlainText"/>
        <w:numPr>
          <w:ilvl w:val="0"/>
          <w:numId w:val="32"/>
        </w:numPr>
        <w:rPr>
          <w:color w:val="000000" w:themeColor="text1"/>
          <w:sz w:val="20"/>
          <w:szCs w:val="20"/>
        </w:rPr>
      </w:pPr>
      <w:r w:rsidRPr="006E7E39">
        <w:rPr>
          <w:color w:val="000000" w:themeColor="text1"/>
          <w:sz w:val="20"/>
          <w:szCs w:val="20"/>
        </w:rPr>
        <w:t>Heat Hazards</w:t>
      </w:r>
    </w:p>
    <w:p w14:paraId="7F6DEAD3" w14:textId="77777777" w:rsidR="006E7E39" w:rsidRPr="006E7E39" w:rsidRDefault="006E7E39" w:rsidP="006E7E39">
      <w:pPr>
        <w:pStyle w:val="PlainText"/>
        <w:numPr>
          <w:ilvl w:val="1"/>
          <w:numId w:val="32"/>
        </w:numPr>
        <w:rPr>
          <w:color w:val="000000" w:themeColor="text1"/>
          <w:sz w:val="20"/>
          <w:szCs w:val="20"/>
        </w:rPr>
      </w:pPr>
      <w:r w:rsidRPr="006E7E39">
        <w:rPr>
          <w:color w:val="000000" w:themeColor="text1"/>
          <w:sz w:val="20"/>
          <w:szCs w:val="20"/>
        </w:rPr>
        <w:t>New and returning workers should gradually be acclimated into the workplace to build a tolerance to the heat.</w:t>
      </w:r>
    </w:p>
    <w:p w14:paraId="36D68F8C" w14:textId="77777777" w:rsidR="006E7E39" w:rsidRPr="006E7E39" w:rsidRDefault="006E7E39" w:rsidP="006E7E39">
      <w:pPr>
        <w:pStyle w:val="PlainText"/>
        <w:numPr>
          <w:ilvl w:val="1"/>
          <w:numId w:val="32"/>
        </w:numPr>
        <w:rPr>
          <w:color w:val="000000" w:themeColor="text1"/>
          <w:sz w:val="20"/>
          <w:szCs w:val="20"/>
        </w:rPr>
      </w:pPr>
      <w:r w:rsidRPr="006E7E39">
        <w:rPr>
          <w:color w:val="000000" w:themeColor="text1"/>
          <w:sz w:val="20"/>
          <w:szCs w:val="20"/>
        </w:rPr>
        <w:t xml:space="preserve">Provide breaks that include water or electrolytes and cool/shaded areas.  </w:t>
      </w:r>
    </w:p>
    <w:p w14:paraId="604DC11A" w14:textId="77777777" w:rsidR="006E7E39" w:rsidRPr="006E7E39" w:rsidRDefault="006E7E39" w:rsidP="006E7E39">
      <w:pPr>
        <w:pStyle w:val="PlainText"/>
        <w:numPr>
          <w:ilvl w:val="1"/>
          <w:numId w:val="32"/>
        </w:numPr>
        <w:rPr>
          <w:color w:val="000000" w:themeColor="text1"/>
          <w:sz w:val="20"/>
          <w:szCs w:val="20"/>
        </w:rPr>
      </w:pPr>
      <w:r w:rsidRPr="006E7E39">
        <w:rPr>
          <w:color w:val="000000" w:themeColor="text1"/>
          <w:sz w:val="20"/>
          <w:szCs w:val="20"/>
        </w:rPr>
        <w:t>Train workers on the symptoms and dangers of heat hazards, such as heat stress or heat exhaustion and the steps to take for proper medical assistance.</w:t>
      </w:r>
    </w:p>
    <w:p w14:paraId="21F5FB15" w14:textId="77777777" w:rsidR="006E7E39" w:rsidRPr="006E7E39" w:rsidRDefault="006E7E39" w:rsidP="006E7E39">
      <w:pPr>
        <w:pStyle w:val="PlainText"/>
        <w:numPr>
          <w:ilvl w:val="0"/>
          <w:numId w:val="32"/>
        </w:numPr>
        <w:rPr>
          <w:color w:val="000000" w:themeColor="text1"/>
          <w:sz w:val="20"/>
          <w:szCs w:val="20"/>
        </w:rPr>
      </w:pPr>
      <w:r w:rsidRPr="006E7E39">
        <w:rPr>
          <w:color w:val="000000" w:themeColor="text1"/>
          <w:sz w:val="20"/>
          <w:szCs w:val="20"/>
        </w:rPr>
        <w:t>Ergonomic Hazards</w:t>
      </w:r>
    </w:p>
    <w:p w14:paraId="74AE1909" w14:textId="77777777" w:rsidR="006E7E39" w:rsidRPr="006E7E39" w:rsidRDefault="006E7E39" w:rsidP="006E7E39">
      <w:pPr>
        <w:pStyle w:val="PlainText"/>
        <w:numPr>
          <w:ilvl w:val="1"/>
          <w:numId w:val="32"/>
        </w:numPr>
        <w:rPr>
          <w:color w:val="000000" w:themeColor="text1"/>
          <w:sz w:val="20"/>
          <w:szCs w:val="20"/>
        </w:rPr>
      </w:pPr>
      <w:r w:rsidRPr="006E7E39">
        <w:rPr>
          <w:color w:val="000000" w:themeColor="text1"/>
          <w:sz w:val="20"/>
          <w:szCs w:val="20"/>
        </w:rPr>
        <w:t>Ensure employees understand proper lifting techniques and weight limitations.</w:t>
      </w:r>
    </w:p>
    <w:p w14:paraId="56036840" w14:textId="77777777" w:rsidR="006E7E39" w:rsidRPr="006E7E39" w:rsidRDefault="006E7E39" w:rsidP="006E7E39">
      <w:pPr>
        <w:pStyle w:val="PlainText"/>
        <w:numPr>
          <w:ilvl w:val="1"/>
          <w:numId w:val="32"/>
        </w:numPr>
        <w:rPr>
          <w:color w:val="000000" w:themeColor="text1"/>
          <w:sz w:val="20"/>
          <w:szCs w:val="20"/>
        </w:rPr>
      </w:pPr>
      <w:r w:rsidRPr="006E7E39">
        <w:rPr>
          <w:color w:val="000000" w:themeColor="text1"/>
          <w:sz w:val="20"/>
          <w:szCs w:val="20"/>
        </w:rPr>
        <w:t>Review and train employees on the need for material handling equipment to assist in lifting objects.</w:t>
      </w:r>
    </w:p>
    <w:p w14:paraId="5BC3545D" w14:textId="77777777" w:rsidR="006E7E39" w:rsidRPr="006E7E39" w:rsidRDefault="006E7E39" w:rsidP="006E7E39">
      <w:pPr>
        <w:pStyle w:val="PlainText"/>
        <w:numPr>
          <w:ilvl w:val="1"/>
          <w:numId w:val="32"/>
        </w:numPr>
        <w:rPr>
          <w:color w:val="000000" w:themeColor="text1"/>
          <w:sz w:val="20"/>
          <w:szCs w:val="20"/>
        </w:rPr>
      </w:pPr>
      <w:r w:rsidRPr="006E7E39">
        <w:rPr>
          <w:color w:val="000000" w:themeColor="text1"/>
          <w:sz w:val="20"/>
          <w:szCs w:val="20"/>
        </w:rPr>
        <w:lastRenderedPageBreak/>
        <w:t>Train employees on the signs and symptoms of Musculoskeletal Disorders (MSDs).  MSDs include injuries such as carpal tunnel syndrome, trigger finger and epicondylitis.</w:t>
      </w:r>
    </w:p>
    <w:p w14:paraId="6F8849F3" w14:textId="77777777" w:rsidR="006E7E39" w:rsidRPr="006E7E39" w:rsidRDefault="006E7E39" w:rsidP="006E7E39">
      <w:pPr>
        <w:pStyle w:val="PlainText"/>
        <w:rPr>
          <w:color w:val="000000" w:themeColor="text1"/>
          <w:sz w:val="20"/>
          <w:szCs w:val="20"/>
        </w:rPr>
      </w:pPr>
    </w:p>
    <w:p w14:paraId="5A89EB22" w14:textId="77777777" w:rsidR="006E7E39" w:rsidRPr="006E7E39" w:rsidRDefault="006E7E39" w:rsidP="006E7E39">
      <w:pPr>
        <w:pStyle w:val="PlainText"/>
        <w:rPr>
          <w:color w:val="000000" w:themeColor="text1"/>
          <w:sz w:val="20"/>
          <w:szCs w:val="20"/>
        </w:rPr>
      </w:pPr>
      <w:r w:rsidRPr="006E7E39">
        <w:rPr>
          <w:color w:val="000000" w:themeColor="text1"/>
          <w:sz w:val="20"/>
          <w:szCs w:val="20"/>
        </w:rPr>
        <w:t>Employers can create a secure environment that promotes employee well-being and enhances overall operation efficiency by prioritizing warehouse safety through training, communication, and proactive measures.  Regular reviews and updates to safety protocols are essential to adapt to changing circumstances and technologies.</w:t>
      </w:r>
    </w:p>
    <w:p w14:paraId="780E5AEE" w14:textId="77777777" w:rsidR="006E7E39" w:rsidRPr="006E7E39" w:rsidRDefault="006E7E39" w:rsidP="006E7E39">
      <w:pPr>
        <w:pStyle w:val="PlainText"/>
        <w:rPr>
          <w:sz w:val="20"/>
          <w:szCs w:val="20"/>
        </w:rPr>
      </w:pPr>
    </w:p>
    <w:p w14:paraId="33543F22" w14:textId="3F44F678" w:rsidR="006E7E39" w:rsidRPr="006E7E39" w:rsidRDefault="006E7E39" w:rsidP="006E7E39">
      <w:pPr>
        <w:pStyle w:val="PlainText"/>
        <w:rPr>
          <w:color w:val="000000" w:themeColor="text1"/>
          <w:sz w:val="20"/>
          <w:szCs w:val="20"/>
        </w:rPr>
      </w:pPr>
      <w:r w:rsidRPr="006E7E39">
        <w:rPr>
          <w:sz w:val="20"/>
          <w:szCs w:val="20"/>
        </w:rPr>
        <w:t xml:space="preserve">As final note, OSHA has placed warehouse safety as one of their National Emphasis Programs or NEP’s.  </w:t>
      </w:r>
      <w:proofErr w:type="gramStart"/>
      <w:r w:rsidRPr="006E7E39">
        <w:rPr>
          <w:sz w:val="20"/>
          <w:szCs w:val="20"/>
        </w:rPr>
        <w:t>NEP’s</w:t>
      </w:r>
      <w:proofErr w:type="gramEnd"/>
      <w:r w:rsidRPr="006E7E39">
        <w:rPr>
          <w:sz w:val="20"/>
          <w:szCs w:val="20"/>
        </w:rPr>
        <w:t xml:space="preserve"> are designed to focus OSHA’s resources on particular hazards and high-hazard industries.  For further information on the OSHA NEP for Warehouse Safety, go to: </w:t>
      </w:r>
      <w:hyperlink r:id="rId8" w:history="1">
        <w:r w:rsidRPr="006E7E39">
          <w:rPr>
            <w:rStyle w:val="Hyperlink"/>
            <w:sz w:val="20"/>
            <w:szCs w:val="20"/>
          </w:rPr>
          <w:t>https://www.osha.gov/sites/default/files/enforcement/directives/CPL_03-00-026.pdf</w:t>
        </w:r>
      </w:hyperlink>
      <w:r w:rsidRPr="006E7E39">
        <w:rPr>
          <w:sz w:val="20"/>
          <w:szCs w:val="20"/>
        </w:rPr>
        <w:t xml:space="preserve">. </w:t>
      </w:r>
    </w:p>
    <w:p w14:paraId="4206D3EB" w14:textId="77777777" w:rsidR="006E7E39" w:rsidRPr="006E7E39" w:rsidRDefault="006E7E39" w:rsidP="006E7E39">
      <w:pPr>
        <w:pStyle w:val="PlainText"/>
        <w:rPr>
          <w:color w:val="000000" w:themeColor="text1"/>
          <w:sz w:val="20"/>
          <w:szCs w:val="20"/>
        </w:rPr>
      </w:pPr>
    </w:p>
    <w:p w14:paraId="40497D67" w14:textId="1AFCACAC" w:rsidR="00D55C9D" w:rsidRPr="00D55C9D" w:rsidRDefault="006E7E39" w:rsidP="006E7E39">
      <w:pPr>
        <w:pStyle w:val="H2"/>
        <w:spacing w:before="0" w:after="240"/>
        <w:ind w:right="90"/>
        <w:rPr>
          <w:rFonts w:asciiTheme="majorHAnsi" w:hAnsiTheme="majorHAnsi"/>
          <w:b w:val="0"/>
          <w:bCs/>
          <w:sz w:val="20"/>
          <w:szCs w:val="20"/>
        </w:rPr>
      </w:pPr>
      <w:r w:rsidRPr="006E7E39">
        <w:rPr>
          <w:rFonts w:eastAsia="Times New Roman" w:cstheme="minorHAnsi"/>
          <w:b w:val="0"/>
          <w:color w:val="0E101A"/>
          <w:sz w:val="20"/>
          <w:szCs w:val="20"/>
        </w:rPr>
        <w:t>If you need help identifying potential hazards in your workplace, please contact Andy Sawan, Risk Services Specialist at Sedgwick at </w:t>
      </w:r>
      <w:hyperlink r:id="rId9" w:tgtFrame="_blank" w:history="1">
        <w:r w:rsidRPr="006E7E39">
          <w:rPr>
            <w:rStyle w:val="Hyperlink"/>
            <w:rFonts w:eastAsia="Times New Roman" w:cstheme="minorHAnsi"/>
            <w:b w:val="0"/>
            <w:color w:val="4A6EE0"/>
            <w:sz w:val="20"/>
            <w:szCs w:val="20"/>
          </w:rPr>
          <w:t>andrew.sawan@sedgwick.com</w:t>
        </w:r>
      </w:hyperlink>
      <w:r w:rsidRPr="006E7E39">
        <w:rPr>
          <w:rFonts w:eastAsia="Times New Roman" w:cstheme="minorHAnsi"/>
          <w:b w:val="0"/>
          <w:color w:val="0E101A"/>
          <w:sz w:val="20"/>
          <w:szCs w:val="20"/>
        </w:rPr>
        <w:t> or 330-819-4728.</w:t>
      </w:r>
    </w:p>
    <w:sectPr w:rsidR="00D55C9D" w:rsidRPr="00D55C9D" w:rsidSect="00156639">
      <w:headerReference w:type="default" r:id="rId10"/>
      <w:footerReference w:type="default" r:id="rId11"/>
      <w:headerReference w:type="first" r:id="rId12"/>
      <w:pgSz w:w="12240" w:h="15840"/>
      <w:pgMar w:top="1440" w:right="1440" w:bottom="720" w:left="1440" w:header="0" w:footer="86"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B6A2E" w14:textId="77777777" w:rsidR="00871514" w:rsidRDefault="00871514">
      <w:pPr>
        <w:spacing w:after="0" w:line="240" w:lineRule="auto"/>
      </w:pPr>
      <w:r>
        <w:separator/>
      </w:r>
    </w:p>
  </w:endnote>
  <w:endnote w:type="continuationSeparator" w:id="0">
    <w:p w14:paraId="746712B5" w14:textId="77777777" w:rsidR="00871514" w:rsidRDefault="00871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ource Sans Pro Light">
    <w:charset w:val="00"/>
    <w:family w:val="swiss"/>
    <w:pitch w:val="variable"/>
    <w:sig w:usb0="600002F7" w:usb1="02000001" w:usb2="00000000"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6A459" w14:textId="77777777" w:rsidR="0009464F" w:rsidRPr="001A015F" w:rsidRDefault="0009464F">
    <w:pPr>
      <w:spacing w:after="0" w:line="240" w:lineRule="auto"/>
      <w:rPr>
        <w:rFonts w:asciiTheme="majorHAnsi" w:hAnsiTheme="majorHAnsi" w:cstheme="majorHAnsi"/>
        <w:b/>
        <w:color w:val="7996B4"/>
        <w:sz w:val="10"/>
        <w:szCs w:val="10"/>
        <w:highlight w:val="whit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0485E" w14:textId="77777777" w:rsidR="00871514" w:rsidRDefault="00871514">
      <w:pPr>
        <w:spacing w:after="0" w:line="240" w:lineRule="auto"/>
      </w:pPr>
      <w:r>
        <w:separator/>
      </w:r>
    </w:p>
  </w:footnote>
  <w:footnote w:type="continuationSeparator" w:id="0">
    <w:p w14:paraId="18EB38D7" w14:textId="77777777" w:rsidR="00871514" w:rsidRDefault="008715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75DA9" w14:textId="77777777" w:rsidR="0009464F" w:rsidRPr="001A015F" w:rsidRDefault="0009464F">
    <w:pPr>
      <w:spacing w:after="0"/>
      <w:rPr>
        <w:rFonts w:asciiTheme="majorHAnsi" w:hAnsiTheme="majorHAnsi" w:cstheme="majorHAns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E2674" w14:textId="77777777" w:rsidR="0009464F" w:rsidRPr="001A015F" w:rsidRDefault="00C53BFA">
    <w:pPr>
      <w:spacing w:after="0"/>
      <w:rPr>
        <w:rFonts w:asciiTheme="majorHAnsi" w:hAnsiTheme="majorHAnsi" w:cstheme="majorHAnsi"/>
        <w:sz w:val="16"/>
        <w:szCs w:val="16"/>
      </w:rPr>
    </w:pPr>
    <w:r w:rsidRPr="001A015F">
      <w:rPr>
        <w:rFonts w:asciiTheme="majorHAnsi" w:hAnsiTheme="majorHAnsi" w:cstheme="majorHAnsi"/>
        <w:noProof/>
      </w:rPr>
      <w:drawing>
        <wp:anchor distT="0" distB="0" distL="0" distR="0" simplePos="0" relativeHeight="251659264" behindDoc="0" locked="0" layoutInCell="1" hidden="0" allowOverlap="1" wp14:anchorId="3DA18A0C" wp14:editId="6D2518D5">
          <wp:simplePos x="0" y="0"/>
          <wp:positionH relativeFrom="column">
            <wp:posOffset>-914400</wp:posOffset>
          </wp:positionH>
          <wp:positionV relativeFrom="paragraph">
            <wp:posOffset>-33020</wp:posOffset>
          </wp:positionV>
          <wp:extent cx="7767320" cy="761365"/>
          <wp:effectExtent l="0" t="0" r="0" b="0"/>
          <wp:wrapTopAndBottom distT="0" dist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767320" cy="76136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40B65"/>
    <w:multiLevelType w:val="hybridMultilevel"/>
    <w:tmpl w:val="CCDE0AA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9B24D3"/>
    <w:multiLevelType w:val="hybridMultilevel"/>
    <w:tmpl w:val="D624C1F4"/>
    <w:lvl w:ilvl="0" w:tplc="674C56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311364"/>
    <w:multiLevelType w:val="hybridMultilevel"/>
    <w:tmpl w:val="2D88FFD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27775A"/>
    <w:multiLevelType w:val="hybridMultilevel"/>
    <w:tmpl w:val="A0D47BCE"/>
    <w:lvl w:ilvl="0" w:tplc="70D2844A">
      <w:start w:val="1"/>
      <w:numFmt w:val="bullet"/>
      <w:lvlText w:val=""/>
      <w:lvlJc w:val="left"/>
      <w:pPr>
        <w:ind w:left="1440" w:hanging="360"/>
      </w:pPr>
      <w:rPr>
        <w:rFonts w:ascii="Symbol" w:hAnsi="Symbol" w:hint="default"/>
        <w:color w:val="018FC8"/>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159369B9"/>
    <w:multiLevelType w:val="hybridMultilevel"/>
    <w:tmpl w:val="6C68657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D35570"/>
    <w:multiLevelType w:val="hybridMultilevel"/>
    <w:tmpl w:val="D850F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B8085D"/>
    <w:multiLevelType w:val="hybridMultilevel"/>
    <w:tmpl w:val="2A685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0B41C7"/>
    <w:multiLevelType w:val="hybridMultilevel"/>
    <w:tmpl w:val="4BA20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7C4943"/>
    <w:multiLevelType w:val="hybridMultilevel"/>
    <w:tmpl w:val="B6685E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6B188C"/>
    <w:multiLevelType w:val="hybridMultilevel"/>
    <w:tmpl w:val="3B94F67C"/>
    <w:lvl w:ilvl="0" w:tplc="266C41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35F0CB2"/>
    <w:multiLevelType w:val="hybridMultilevel"/>
    <w:tmpl w:val="6DD050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FC5BC0"/>
    <w:multiLevelType w:val="hybridMultilevel"/>
    <w:tmpl w:val="1E9CC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97371B"/>
    <w:multiLevelType w:val="hybridMultilevel"/>
    <w:tmpl w:val="883E14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FA0EC7"/>
    <w:multiLevelType w:val="hybridMultilevel"/>
    <w:tmpl w:val="18F25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DF6034"/>
    <w:multiLevelType w:val="hybridMultilevel"/>
    <w:tmpl w:val="FB1017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E33816"/>
    <w:multiLevelType w:val="hybridMultilevel"/>
    <w:tmpl w:val="CAD26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4C7046"/>
    <w:multiLevelType w:val="hybridMultilevel"/>
    <w:tmpl w:val="EFF40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5439C5"/>
    <w:multiLevelType w:val="hybridMultilevel"/>
    <w:tmpl w:val="B136D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575A3D"/>
    <w:multiLevelType w:val="hybridMultilevel"/>
    <w:tmpl w:val="1172BB46"/>
    <w:lvl w:ilvl="0" w:tplc="301E5E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D9C15FF"/>
    <w:multiLevelType w:val="hybridMultilevel"/>
    <w:tmpl w:val="BA9A5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F866D9"/>
    <w:multiLevelType w:val="hybridMultilevel"/>
    <w:tmpl w:val="CAF6F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4120B9"/>
    <w:multiLevelType w:val="hybridMultilevel"/>
    <w:tmpl w:val="2902A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457066"/>
    <w:multiLevelType w:val="multilevel"/>
    <w:tmpl w:val="EB6E5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3511B3D"/>
    <w:multiLevelType w:val="hybridMultilevel"/>
    <w:tmpl w:val="49C20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415B73"/>
    <w:multiLevelType w:val="multilevel"/>
    <w:tmpl w:val="EB6E5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A5B1471"/>
    <w:multiLevelType w:val="hybridMultilevel"/>
    <w:tmpl w:val="CA9C4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5723B8"/>
    <w:multiLevelType w:val="hybridMultilevel"/>
    <w:tmpl w:val="7E84EE2E"/>
    <w:lvl w:ilvl="0" w:tplc="E2A69672">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5385E86"/>
    <w:multiLevelType w:val="hybridMultilevel"/>
    <w:tmpl w:val="9B44172E"/>
    <w:lvl w:ilvl="0" w:tplc="C41611D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7EB7203"/>
    <w:multiLevelType w:val="hybridMultilevel"/>
    <w:tmpl w:val="25E89162"/>
    <w:lvl w:ilvl="0" w:tplc="67DCEFBE">
      <w:start w:val="1"/>
      <w:numFmt w:val="decimal"/>
      <w:lvlText w:val="%1."/>
      <w:lvlJc w:val="left"/>
      <w:pPr>
        <w:ind w:left="830" w:hanging="47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6245E0"/>
    <w:multiLevelType w:val="hybridMultilevel"/>
    <w:tmpl w:val="0C00AFE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7772C0"/>
    <w:multiLevelType w:val="hybridMultilevel"/>
    <w:tmpl w:val="D0A02C1C"/>
    <w:lvl w:ilvl="0" w:tplc="70D2844A">
      <w:start w:val="1"/>
      <w:numFmt w:val="bullet"/>
      <w:lvlText w:val=""/>
      <w:lvlJc w:val="left"/>
      <w:pPr>
        <w:ind w:left="720" w:hanging="360"/>
      </w:pPr>
      <w:rPr>
        <w:rFonts w:ascii="Symbol" w:hAnsi="Symbol" w:hint="default"/>
        <w:color w:val="018FC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90D4942"/>
    <w:multiLevelType w:val="hybridMultilevel"/>
    <w:tmpl w:val="640EFB6A"/>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6489155">
    <w:abstractNumId w:val="5"/>
  </w:num>
  <w:num w:numId="2" w16cid:durableId="1609312589">
    <w:abstractNumId w:val="16"/>
  </w:num>
  <w:num w:numId="3" w16cid:durableId="412435218">
    <w:abstractNumId w:val="15"/>
  </w:num>
  <w:num w:numId="4" w16cid:durableId="1982415401">
    <w:abstractNumId w:val="19"/>
  </w:num>
  <w:num w:numId="5" w16cid:durableId="1285386380">
    <w:abstractNumId w:val="11"/>
  </w:num>
  <w:num w:numId="6" w16cid:durableId="1328485219">
    <w:abstractNumId w:val="6"/>
  </w:num>
  <w:num w:numId="7" w16cid:durableId="486558887">
    <w:abstractNumId w:val="23"/>
  </w:num>
  <w:num w:numId="8" w16cid:durableId="875772841">
    <w:abstractNumId w:val="25"/>
  </w:num>
  <w:num w:numId="9" w16cid:durableId="643967256">
    <w:abstractNumId w:val="21"/>
  </w:num>
  <w:num w:numId="10" w16cid:durableId="1383553213">
    <w:abstractNumId w:val="20"/>
  </w:num>
  <w:num w:numId="11" w16cid:durableId="2112356931">
    <w:abstractNumId w:val="2"/>
  </w:num>
  <w:num w:numId="12" w16cid:durableId="613711292">
    <w:abstractNumId w:val="29"/>
  </w:num>
  <w:num w:numId="13" w16cid:durableId="754009698">
    <w:abstractNumId w:val="10"/>
  </w:num>
  <w:num w:numId="14" w16cid:durableId="43796281">
    <w:abstractNumId w:val="7"/>
  </w:num>
  <w:num w:numId="15" w16cid:durableId="60718106">
    <w:abstractNumId w:val="12"/>
  </w:num>
  <w:num w:numId="16" w16cid:durableId="1106119204">
    <w:abstractNumId w:val="14"/>
  </w:num>
  <w:num w:numId="17" w16cid:durableId="1152451193">
    <w:abstractNumId w:val="4"/>
  </w:num>
  <w:num w:numId="18" w16cid:durableId="410153351">
    <w:abstractNumId w:val="27"/>
  </w:num>
  <w:num w:numId="19" w16cid:durableId="361442887">
    <w:abstractNumId w:val="26"/>
  </w:num>
  <w:num w:numId="20" w16cid:durableId="668487771">
    <w:abstractNumId w:val="18"/>
  </w:num>
  <w:num w:numId="21" w16cid:durableId="1505703982">
    <w:abstractNumId w:val="9"/>
  </w:num>
  <w:num w:numId="22" w16cid:durableId="1873030661">
    <w:abstractNumId w:val="1"/>
  </w:num>
  <w:num w:numId="23" w16cid:durableId="914439242">
    <w:abstractNumId w:val="13"/>
  </w:num>
  <w:num w:numId="24" w16cid:durableId="1426416893">
    <w:abstractNumId w:val="17"/>
  </w:num>
  <w:num w:numId="25" w16cid:durableId="839546886">
    <w:abstractNumId w:val="0"/>
  </w:num>
  <w:num w:numId="26" w16cid:durableId="1240869392">
    <w:abstractNumId w:val="8"/>
  </w:num>
  <w:num w:numId="27" w16cid:durableId="48458747">
    <w:abstractNumId w:val="3"/>
  </w:num>
  <w:num w:numId="28" w16cid:durableId="2104766212">
    <w:abstractNumId w:val="30"/>
  </w:num>
  <w:num w:numId="29" w16cid:durableId="1530798194">
    <w:abstractNumId w:val="31"/>
  </w:num>
  <w:num w:numId="30" w16cid:durableId="2172801">
    <w:abstractNumId w:val="24"/>
  </w:num>
  <w:num w:numId="31" w16cid:durableId="983897270">
    <w:abstractNumId w:val="22"/>
  </w:num>
  <w:num w:numId="32" w16cid:durableId="25050481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BFA"/>
    <w:rsid w:val="00002292"/>
    <w:rsid w:val="000216CD"/>
    <w:rsid w:val="0002691B"/>
    <w:rsid w:val="00065A8F"/>
    <w:rsid w:val="00065D50"/>
    <w:rsid w:val="0009464F"/>
    <w:rsid w:val="000D1E02"/>
    <w:rsid w:val="00112915"/>
    <w:rsid w:val="00130EF0"/>
    <w:rsid w:val="00156639"/>
    <w:rsid w:val="00183EC0"/>
    <w:rsid w:val="00193784"/>
    <w:rsid w:val="0023168B"/>
    <w:rsid w:val="00282D6D"/>
    <w:rsid w:val="002B5D9C"/>
    <w:rsid w:val="002E1197"/>
    <w:rsid w:val="003342DB"/>
    <w:rsid w:val="003D126B"/>
    <w:rsid w:val="00416997"/>
    <w:rsid w:val="004308A6"/>
    <w:rsid w:val="00460524"/>
    <w:rsid w:val="00464BDC"/>
    <w:rsid w:val="00482436"/>
    <w:rsid w:val="0049790D"/>
    <w:rsid w:val="004A33CB"/>
    <w:rsid w:val="004A6675"/>
    <w:rsid w:val="004A6BFC"/>
    <w:rsid w:val="004C76F5"/>
    <w:rsid w:val="004E5528"/>
    <w:rsid w:val="004F6734"/>
    <w:rsid w:val="00507A55"/>
    <w:rsid w:val="005C55C5"/>
    <w:rsid w:val="005C6E3F"/>
    <w:rsid w:val="005E7F34"/>
    <w:rsid w:val="00621E48"/>
    <w:rsid w:val="00650C5D"/>
    <w:rsid w:val="0068539C"/>
    <w:rsid w:val="006E7E39"/>
    <w:rsid w:val="007A061C"/>
    <w:rsid w:val="007B3CBC"/>
    <w:rsid w:val="007E1BA5"/>
    <w:rsid w:val="007E55A1"/>
    <w:rsid w:val="007F3702"/>
    <w:rsid w:val="00844840"/>
    <w:rsid w:val="00862B83"/>
    <w:rsid w:val="00871514"/>
    <w:rsid w:val="008B149B"/>
    <w:rsid w:val="008C3461"/>
    <w:rsid w:val="009429DF"/>
    <w:rsid w:val="00997CA3"/>
    <w:rsid w:val="009E6FD9"/>
    <w:rsid w:val="00AF193B"/>
    <w:rsid w:val="00B11B7A"/>
    <w:rsid w:val="00B353F1"/>
    <w:rsid w:val="00B47993"/>
    <w:rsid w:val="00B54368"/>
    <w:rsid w:val="00B7732D"/>
    <w:rsid w:val="00BB7F5D"/>
    <w:rsid w:val="00BB7FC7"/>
    <w:rsid w:val="00BD2305"/>
    <w:rsid w:val="00C531A9"/>
    <w:rsid w:val="00C53BFA"/>
    <w:rsid w:val="00C628EC"/>
    <w:rsid w:val="00CF4EC0"/>
    <w:rsid w:val="00D41B4B"/>
    <w:rsid w:val="00D454E1"/>
    <w:rsid w:val="00D55C9D"/>
    <w:rsid w:val="00D90A63"/>
    <w:rsid w:val="00D93E3B"/>
    <w:rsid w:val="00D94849"/>
    <w:rsid w:val="00DD4A47"/>
    <w:rsid w:val="00DF2F18"/>
    <w:rsid w:val="00DF71A5"/>
    <w:rsid w:val="00E025BA"/>
    <w:rsid w:val="00E34FF8"/>
    <w:rsid w:val="00E60D19"/>
    <w:rsid w:val="00E717DB"/>
    <w:rsid w:val="00E85464"/>
    <w:rsid w:val="00EA04F8"/>
    <w:rsid w:val="00EC65CC"/>
    <w:rsid w:val="00ED1F7B"/>
    <w:rsid w:val="00EF79A0"/>
    <w:rsid w:val="00F26B1C"/>
    <w:rsid w:val="00F354F0"/>
    <w:rsid w:val="00F45A53"/>
    <w:rsid w:val="00F4629F"/>
    <w:rsid w:val="00F53A0D"/>
    <w:rsid w:val="00F820AB"/>
    <w:rsid w:val="00FA4089"/>
    <w:rsid w:val="00FB53FB"/>
    <w:rsid w:val="00FD6BFF"/>
    <w:rsid w:val="00FE3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3915B"/>
  <w15:chartTrackingRefBased/>
  <w15:docId w15:val="{2252DAA4-53DD-A942-B7BF-A3997529B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BFF"/>
    <w:pPr>
      <w:spacing w:after="400" w:line="300" w:lineRule="auto"/>
    </w:pPr>
    <w:rPr>
      <w:rFonts w:eastAsia="Source Sans Pro" w:cs="Source Sans Pro"/>
      <w:sz w:val="20"/>
      <w:szCs w:val="20"/>
      <w:lang w:val="en"/>
    </w:rPr>
  </w:style>
  <w:style w:type="paragraph" w:styleId="Heading1">
    <w:name w:val="heading 1"/>
    <w:basedOn w:val="Normal"/>
    <w:next w:val="Normal"/>
    <w:link w:val="Heading1Char"/>
    <w:uiPriority w:val="9"/>
    <w:qFormat/>
    <w:rsid w:val="00C53B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C53BFA"/>
    <w:pPr>
      <w:keepNext/>
      <w:keepLines/>
      <w:spacing w:before="400" w:after="200" w:line="240" w:lineRule="auto"/>
      <w:ind w:left="360"/>
      <w:outlineLvl w:val="3"/>
    </w:pPr>
    <w:rPr>
      <w:b/>
      <w:color w:val="292826"/>
      <w:sz w:val="24"/>
      <w:szCs w:val="24"/>
      <w:highlight w:val="whit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C53BFA"/>
    <w:rPr>
      <w:rFonts w:ascii="Source Sans Pro" w:eastAsia="Source Sans Pro" w:hAnsi="Source Sans Pro" w:cs="Source Sans Pro"/>
      <w:b/>
      <w:color w:val="292826"/>
      <w:highlight w:val="white"/>
      <w:lang w:val="en"/>
    </w:rPr>
  </w:style>
  <w:style w:type="paragraph" w:styleId="ListParagraph">
    <w:name w:val="List Paragraph"/>
    <w:basedOn w:val="Normal"/>
    <w:uiPriority w:val="34"/>
    <w:qFormat/>
    <w:rsid w:val="00C53BFA"/>
    <w:pPr>
      <w:spacing w:after="200"/>
      <w:ind w:left="720"/>
      <w:contextualSpacing/>
    </w:pPr>
    <w:rPr>
      <w:rFonts w:asciiTheme="majorHAnsi" w:hAnsiTheme="majorHAnsi"/>
    </w:rPr>
  </w:style>
  <w:style w:type="paragraph" w:styleId="Subtitle">
    <w:name w:val="Subtitle"/>
    <w:basedOn w:val="Normal"/>
    <w:next w:val="Normal"/>
    <w:link w:val="SubtitleChar"/>
    <w:uiPriority w:val="11"/>
    <w:qFormat/>
    <w:rsid w:val="00C53BFA"/>
    <w:pPr>
      <w:keepNext/>
      <w:keepLines/>
    </w:pPr>
    <w:rPr>
      <w:rFonts w:ascii="Georgia" w:eastAsia="Georgia" w:hAnsi="Georgia" w:cs="Georgia"/>
      <w:i/>
      <w:color w:val="292826"/>
      <w:sz w:val="32"/>
      <w:szCs w:val="32"/>
    </w:rPr>
  </w:style>
  <w:style w:type="character" w:customStyle="1" w:styleId="SubtitleChar">
    <w:name w:val="Subtitle Char"/>
    <w:basedOn w:val="DefaultParagraphFont"/>
    <w:link w:val="Subtitle"/>
    <w:uiPriority w:val="11"/>
    <w:rsid w:val="00C53BFA"/>
    <w:rPr>
      <w:rFonts w:ascii="Georgia" w:eastAsia="Georgia" w:hAnsi="Georgia" w:cs="Georgia"/>
      <w:i/>
      <w:color w:val="292826"/>
      <w:sz w:val="32"/>
      <w:szCs w:val="32"/>
      <w:lang w:val="en"/>
    </w:rPr>
  </w:style>
  <w:style w:type="paragraph" w:styleId="Footer">
    <w:name w:val="footer"/>
    <w:basedOn w:val="Normal"/>
    <w:link w:val="FooterChar"/>
    <w:uiPriority w:val="99"/>
    <w:unhideWhenUsed/>
    <w:rsid w:val="00C53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BFA"/>
    <w:rPr>
      <w:rFonts w:ascii="Source Sans Pro" w:eastAsia="Source Sans Pro" w:hAnsi="Source Sans Pro" w:cs="Source Sans Pro"/>
      <w:sz w:val="20"/>
      <w:szCs w:val="20"/>
      <w:lang w:val="en"/>
    </w:rPr>
  </w:style>
  <w:style w:type="paragraph" w:customStyle="1" w:styleId="H1">
    <w:name w:val="H1"/>
    <w:qFormat/>
    <w:rsid w:val="00C53BFA"/>
    <w:pPr>
      <w:spacing w:after="200"/>
      <w:ind w:right="2966"/>
    </w:pPr>
    <w:rPr>
      <w:rFonts w:ascii="Calibri Light" w:eastAsia="Source Sans Pro Light" w:hAnsi="Calibri Light" w:cs="Calibri Light"/>
      <w:color w:val="181D21"/>
      <w:sz w:val="48"/>
      <w:szCs w:val="48"/>
      <w:lang w:val="en"/>
    </w:rPr>
  </w:style>
  <w:style w:type="paragraph" w:customStyle="1" w:styleId="H2">
    <w:name w:val="H2"/>
    <w:basedOn w:val="Normal"/>
    <w:qFormat/>
    <w:rsid w:val="008C3461"/>
    <w:pPr>
      <w:spacing w:before="200" w:after="0"/>
      <w:ind w:right="900"/>
    </w:pPr>
    <w:rPr>
      <w:rFonts w:cstheme="majorHAnsi"/>
      <w:b/>
      <w:color w:val="181D21"/>
      <w:sz w:val="24"/>
      <w:szCs w:val="24"/>
    </w:rPr>
  </w:style>
  <w:style w:type="paragraph" w:customStyle="1" w:styleId="H3">
    <w:name w:val="H3"/>
    <w:basedOn w:val="Normal"/>
    <w:qFormat/>
    <w:rsid w:val="00C53BFA"/>
    <w:pPr>
      <w:spacing w:before="200" w:after="0"/>
      <w:ind w:right="900"/>
    </w:pPr>
    <w:rPr>
      <w:rFonts w:asciiTheme="majorHAnsi" w:hAnsiTheme="majorHAnsi" w:cstheme="majorHAnsi"/>
      <w:b/>
      <w:color w:val="018FC8"/>
      <w:sz w:val="18"/>
      <w:szCs w:val="18"/>
    </w:rPr>
  </w:style>
  <w:style w:type="paragraph" w:customStyle="1" w:styleId="Pre-title">
    <w:name w:val="Pre-title"/>
    <w:basedOn w:val="Heading1"/>
    <w:qFormat/>
    <w:rsid w:val="00FD6BFF"/>
    <w:pPr>
      <w:spacing w:before="0" w:line="276" w:lineRule="auto"/>
      <w:ind w:right="900"/>
    </w:pPr>
    <w:rPr>
      <w:rFonts w:asciiTheme="minorHAnsi" w:eastAsia="Source Sans Pro" w:hAnsiTheme="minorHAnsi" w:cstheme="majorHAnsi"/>
      <w:b/>
      <w:color w:val="018FC8"/>
      <w:sz w:val="20"/>
      <w:szCs w:val="20"/>
    </w:rPr>
  </w:style>
  <w:style w:type="character" w:customStyle="1" w:styleId="Heading1Char">
    <w:name w:val="Heading 1 Char"/>
    <w:basedOn w:val="DefaultParagraphFont"/>
    <w:link w:val="Heading1"/>
    <w:uiPriority w:val="9"/>
    <w:rsid w:val="00C53BFA"/>
    <w:rPr>
      <w:rFonts w:asciiTheme="majorHAnsi" w:eastAsiaTheme="majorEastAsia" w:hAnsiTheme="majorHAnsi" w:cstheme="majorBidi"/>
      <w:color w:val="2F5496" w:themeColor="accent1" w:themeShade="BF"/>
      <w:sz w:val="32"/>
      <w:szCs w:val="32"/>
      <w:lang w:val="en"/>
    </w:rPr>
  </w:style>
  <w:style w:type="paragraph" w:styleId="Header">
    <w:name w:val="header"/>
    <w:basedOn w:val="Normal"/>
    <w:link w:val="HeaderChar"/>
    <w:uiPriority w:val="99"/>
    <w:unhideWhenUsed/>
    <w:rsid w:val="004C76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6F5"/>
    <w:rPr>
      <w:rFonts w:eastAsia="Source Sans Pro" w:cs="Source Sans Pro"/>
      <w:sz w:val="20"/>
      <w:szCs w:val="20"/>
      <w:lang w:val="en"/>
    </w:rPr>
  </w:style>
  <w:style w:type="paragraph" w:styleId="BodyText">
    <w:name w:val="Body Text"/>
    <w:basedOn w:val="Normal"/>
    <w:link w:val="BodyTextChar"/>
    <w:uiPriority w:val="1"/>
    <w:qFormat/>
    <w:rsid w:val="00482436"/>
    <w:pPr>
      <w:widowControl w:val="0"/>
      <w:autoSpaceDE w:val="0"/>
      <w:autoSpaceDN w:val="0"/>
      <w:spacing w:after="0" w:line="240" w:lineRule="auto"/>
    </w:pPr>
    <w:rPr>
      <w:rFonts w:ascii="Source Sans Pro" w:hAnsi="Source Sans Pro"/>
      <w:sz w:val="16"/>
      <w:szCs w:val="16"/>
      <w:lang w:val="en-US"/>
    </w:rPr>
  </w:style>
  <w:style w:type="character" w:customStyle="1" w:styleId="BodyTextChar">
    <w:name w:val="Body Text Char"/>
    <w:basedOn w:val="DefaultParagraphFont"/>
    <w:link w:val="BodyText"/>
    <w:uiPriority w:val="1"/>
    <w:rsid w:val="00482436"/>
    <w:rPr>
      <w:rFonts w:ascii="Source Sans Pro" w:eastAsia="Source Sans Pro" w:hAnsi="Source Sans Pro" w:cs="Source Sans Pro"/>
      <w:sz w:val="16"/>
      <w:szCs w:val="16"/>
    </w:rPr>
  </w:style>
  <w:style w:type="character" w:styleId="Hyperlink">
    <w:name w:val="Hyperlink"/>
    <w:basedOn w:val="DefaultParagraphFont"/>
    <w:uiPriority w:val="99"/>
    <w:unhideWhenUsed/>
    <w:rsid w:val="00DF71A5"/>
    <w:rPr>
      <w:color w:val="0563C1" w:themeColor="hyperlink"/>
      <w:u w:val="single"/>
    </w:rPr>
  </w:style>
  <w:style w:type="paragraph" w:customStyle="1" w:styleId="Default">
    <w:name w:val="Default"/>
    <w:rsid w:val="00C628EC"/>
    <w:pPr>
      <w:autoSpaceDE w:val="0"/>
      <w:autoSpaceDN w:val="0"/>
      <w:adjustRightInd w:val="0"/>
    </w:pPr>
    <w:rPr>
      <w:rFonts w:ascii="Myriad Pro" w:hAnsi="Myriad Pro" w:cs="Myriad Pro"/>
      <w:color w:val="000000"/>
    </w:rPr>
  </w:style>
  <w:style w:type="character" w:styleId="UnresolvedMention">
    <w:name w:val="Unresolved Mention"/>
    <w:basedOn w:val="DefaultParagraphFont"/>
    <w:uiPriority w:val="99"/>
    <w:semiHidden/>
    <w:unhideWhenUsed/>
    <w:rsid w:val="00F820AB"/>
    <w:rPr>
      <w:color w:val="605E5C"/>
      <w:shd w:val="clear" w:color="auto" w:fill="E1DFDD"/>
    </w:rPr>
  </w:style>
  <w:style w:type="paragraph" w:styleId="PlainText">
    <w:name w:val="Plain Text"/>
    <w:basedOn w:val="Normal"/>
    <w:link w:val="PlainTextChar"/>
    <w:uiPriority w:val="99"/>
    <w:unhideWhenUsed/>
    <w:rsid w:val="007E1BA5"/>
    <w:pPr>
      <w:spacing w:after="0" w:line="240" w:lineRule="auto"/>
    </w:pPr>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7E1BA5"/>
    <w:rPr>
      <w:rFonts w:ascii="Calibri" w:hAnsi="Calibri"/>
      <w:sz w:val="22"/>
      <w:szCs w:val="21"/>
    </w:rPr>
  </w:style>
  <w:style w:type="paragraph" w:styleId="Revision">
    <w:name w:val="Revision"/>
    <w:hidden/>
    <w:uiPriority w:val="99"/>
    <w:semiHidden/>
    <w:rsid w:val="00BD2305"/>
    <w:rPr>
      <w:sz w:val="22"/>
      <w:szCs w:val="22"/>
    </w:rPr>
  </w:style>
  <w:style w:type="paragraph" w:styleId="CommentText">
    <w:name w:val="annotation text"/>
    <w:basedOn w:val="Normal"/>
    <w:link w:val="CommentTextChar"/>
    <w:uiPriority w:val="99"/>
    <w:unhideWhenUsed/>
    <w:rsid w:val="0009464F"/>
    <w:pPr>
      <w:spacing w:after="160" w:line="240" w:lineRule="auto"/>
    </w:pPr>
    <w:rPr>
      <w:rFonts w:eastAsiaTheme="minorHAnsi" w:cstheme="minorBidi"/>
      <w:kern w:val="2"/>
      <w:lang w:val="en-US"/>
      <w14:ligatures w14:val="standardContextual"/>
    </w:rPr>
  </w:style>
  <w:style w:type="character" w:customStyle="1" w:styleId="CommentTextChar">
    <w:name w:val="Comment Text Char"/>
    <w:basedOn w:val="DefaultParagraphFont"/>
    <w:link w:val="CommentText"/>
    <w:uiPriority w:val="99"/>
    <w:rsid w:val="0009464F"/>
    <w:rPr>
      <w:kern w:val="2"/>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sha.gov/sites/default/files/enforcement/directives/CPL_03-00-026.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ndrew.sawan@sedgwick.com"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675</Words>
  <Characters>3853</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Paul Feck</cp:lastModifiedBy>
  <cp:revision>2</cp:revision>
  <cp:lastPrinted>2021-07-28T19:35:00Z</cp:lastPrinted>
  <dcterms:created xsi:type="dcterms:W3CDTF">2024-04-01T19:50:00Z</dcterms:created>
  <dcterms:modified xsi:type="dcterms:W3CDTF">2024-04-01T19:50:00Z</dcterms:modified>
</cp:coreProperties>
</file>