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68C3722"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964475">
        <w:rPr>
          <w:noProof/>
        </w:rPr>
        <w:t>Client education program</w:t>
      </w:r>
      <w:r w:rsidR="00964475">
        <w:rPr>
          <w:noProof/>
        </w:rPr>
        <w:br/>
        <w:t>for workers’ compensation</w:t>
      </w:r>
    </w:p>
    <w:p w14:paraId="38FD9286" w14:textId="02F764BD" w:rsidR="00954FC1" w:rsidRDefault="00964475" w:rsidP="00F1234F">
      <w:pPr>
        <w:pStyle w:val="H2"/>
        <w:spacing w:after="200"/>
        <w:ind w:right="0"/>
        <w:rPr>
          <w:rFonts w:cstheme="minorHAnsi"/>
          <w:b w:val="0"/>
          <w:bCs/>
          <w:sz w:val="20"/>
          <w:szCs w:val="20"/>
        </w:rPr>
      </w:pPr>
      <w:r>
        <w:rPr>
          <w:rFonts w:cstheme="minorHAnsi"/>
          <w:b w:val="0"/>
          <w:bCs/>
          <w:sz w:val="20"/>
          <w:szCs w:val="20"/>
        </w:rPr>
        <w:t>Sedgwick offers a comprehensive, webinar-based education program to current clients, covering a variety of topics within the workers’ compensation industry.</w:t>
      </w:r>
      <w:r w:rsidR="000F43B2">
        <w:rPr>
          <w:rFonts w:cstheme="minorHAnsi"/>
          <w:b w:val="0"/>
          <w:bCs/>
          <w:sz w:val="20"/>
          <w:szCs w:val="20"/>
        </w:rPr>
        <w:t xml:space="preserve"> These training webinars are free to member clients of Sedgwick.</w:t>
      </w:r>
    </w:p>
    <w:p w14:paraId="61A58133" w14:textId="4604C8C2" w:rsidR="004517F4" w:rsidRPr="00954FC1" w:rsidRDefault="00D07D3F" w:rsidP="00F1234F">
      <w:pPr>
        <w:pStyle w:val="H2"/>
        <w:spacing w:after="200"/>
        <w:ind w:right="0"/>
        <w:rPr>
          <w:rFonts w:cstheme="minorHAnsi"/>
          <w:b w:val="0"/>
          <w:bCs/>
          <w:sz w:val="20"/>
          <w:szCs w:val="20"/>
        </w:rPr>
      </w:pPr>
      <w:r>
        <w:rPr>
          <w:rFonts w:cstheme="minorHAnsi"/>
          <w:b w:val="0"/>
          <w:bCs/>
          <w:sz w:val="20"/>
          <w:szCs w:val="20"/>
        </w:rPr>
        <w:t>Sedgwick’s workers’ compensation educational series is designed to familiarize yourself with Ohio’s workers’ compensation system and show you how to maximize your program.</w:t>
      </w:r>
    </w:p>
    <w:p w14:paraId="7F26135B" w14:textId="77777777" w:rsidR="00D07D3F" w:rsidRDefault="00D07D3F" w:rsidP="000806DE">
      <w:pPr>
        <w:pStyle w:val="H2"/>
        <w:ind w:right="0"/>
        <w:rPr>
          <w:rFonts w:cstheme="minorHAnsi"/>
          <w:b w:val="0"/>
          <w:bCs/>
          <w:sz w:val="20"/>
          <w:szCs w:val="20"/>
        </w:rPr>
      </w:pPr>
      <w:r w:rsidRPr="00D07D3F">
        <w:rPr>
          <w:rFonts w:cstheme="minorHAnsi"/>
          <w:b w:val="0"/>
          <w:bCs/>
          <w:sz w:val="20"/>
          <w:szCs w:val="20"/>
        </w:rPr>
        <w:t>Webinar topics include:</w:t>
      </w:r>
    </w:p>
    <w:p w14:paraId="323BB824" w14:textId="77777777" w:rsidR="00D07D3F" w:rsidRDefault="00D07D3F" w:rsidP="00F1234F">
      <w:pPr>
        <w:pStyle w:val="H2"/>
        <w:numPr>
          <w:ilvl w:val="0"/>
          <w:numId w:val="7"/>
        </w:numPr>
        <w:spacing w:before="0"/>
        <w:ind w:right="0"/>
        <w:rPr>
          <w:rFonts w:cstheme="minorHAnsi"/>
          <w:b w:val="0"/>
          <w:bCs/>
          <w:sz w:val="20"/>
          <w:szCs w:val="20"/>
        </w:rPr>
      </w:pPr>
      <w:r>
        <w:rPr>
          <w:rFonts w:cstheme="minorHAnsi"/>
          <w:b w:val="0"/>
          <w:bCs/>
          <w:sz w:val="20"/>
          <w:szCs w:val="20"/>
        </w:rPr>
        <w:t>Introduction to Ohio workers’ compensation</w:t>
      </w:r>
    </w:p>
    <w:p w14:paraId="1745A289" w14:textId="2182CE94" w:rsidR="00D07D3F" w:rsidRPr="00D07D3F" w:rsidRDefault="00D07D3F" w:rsidP="00F1234F">
      <w:pPr>
        <w:pStyle w:val="H2"/>
        <w:numPr>
          <w:ilvl w:val="0"/>
          <w:numId w:val="7"/>
        </w:numPr>
        <w:spacing w:before="0"/>
        <w:ind w:right="0"/>
        <w:rPr>
          <w:rFonts w:cstheme="minorHAnsi"/>
          <w:b w:val="0"/>
          <w:bCs/>
          <w:sz w:val="20"/>
          <w:szCs w:val="20"/>
        </w:rPr>
      </w:pPr>
      <w:r w:rsidRPr="00D07D3F">
        <w:rPr>
          <w:rFonts w:cstheme="minorHAnsi"/>
          <w:b w:val="0"/>
          <w:bCs/>
          <w:sz w:val="20"/>
          <w:szCs w:val="20"/>
        </w:rPr>
        <w:t>Understanding your rate calculation</w:t>
      </w:r>
    </w:p>
    <w:p w14:paraId="4711CF19" w14:textId="77777777" w:rsidR="00D07D3F" w:rsidRDefault="00D07D3F" w:rsidP="00F1234F">
      <w:pPr>
        <w:pStyle w:val="H2"/>
        <w:numPr>
          <w:ilvl w:val="0"/>
          <w:numId w:val="7"/>
        </w:numPr>
        <w:spacing w:before="0"/>
        <w:ind w:right="0"/>
        <w:rPr>
          <w:rFonts w:cstheme="minorHAnsi"/>
          <w:b w:val="0"/>
          <w:bCs/>
          <w:sz w:val="20"/>
          <w:szCs w:val="20"/>
        </w:rPr>
      </w:pPr>
      <w:r>
        <w:rPr>
          <w:rFonts w:cstheme="minorHAnsi"/>
          <w:b w:val="0"/>
          <w:bCs/>
          <w:sz w:val="20"/>
          <w:szCs w:val="20"/>
        </w:rPr>
        <w:t>Destination Excellence</w:t>
      </w:r>
    </w:p>
    <w:p w14:paraId="335292AE" w14:textId="77777777" w:rsidR="00D07D3F" w:rsidRDefault="00D07D3F" w:rsidP="00F1234F">
      <w:pPr>
        <w:pStyle w:val="H2"/>
        <w:numPr>
          <w:ilvl w:val="0"/>
          <w:numId w:val="7"/>
        </w:numPr>
        <w:spacing w:before="0"/>
        <w:ind w:right="0"/>
        <w:rPr>
          <w:rFonts w:cstheme="minorHAnsi"/>
          <w:b w:val="0"/>
          <w:bCs/>
          <w:sz w:val="20"/>
          <w:szCs w:val="20"/>
        </w:rPr>
      </w:pPr>
      <w:r>
        <w:rPr>
          <w:rFonts w:cstheme="minorHAnsi"/>
          <w:b w:val="0"/>
          <w:bCs/>
          <w:sz w:val="20"/>
          <w:szCs w:val="20"/>
        </w:rPr>
        <w:t>Seven steps to a successful workers’ compensation program</w:t>
      </w:r>
    </w:p>
    <w:p w14:paraId="507D1282" w14:textId="77777777" w:rsidR="00D07D3F" w:rsidRDefault="00D07D3F" w:rsidP="00F1234F">
      <w:pPr>
        <w:pStyle w:val="H2"/>
        <w:numPr>
          <w:ilvl w:val="0"/>
          <w:numId w:val="7"/>
        </w:numPr>
        <w:spacing w:before="0"/>
        <w:ind w:right="0"/>
        <w:rPr>
          <w:rFonts w:cstheme="minorHAnsi"/>
          <w:b w:val="0"/>
          <w:bCs/>
          <w:sz w:val="20"/>
          <w:szCs w:val="20"/>
        </w:rPr>
      </w:pPr>
      <w:r>
        <w:rPr>
          <w:rFonts w:cstheme="minorHAnsi"/>
          <w:b w:val="0"/>
          <w:bCs/>
          <w:sz w:val="20"/>
          <w:szCs w:val="20"/>
        </w:rPr>
        <w:t>Cost containment strategies</w:t>
      </w:r>
    </w:p>
    <w:p w14:paraId="10F4E9F6" w14:textId="77777777" w:rsidR="00D07D3F" w:rsidRDefault="00D07D3F" w:rsidP="000806DE">
      <w:pPr>
        <w:pStyle w:val="H2"/>
        <w:ind w:right="0"/>
        <w:rPr>
          <w:rFonts w:cstheme="minorHAnsi"/>
          <w:b w:val="0"/>
          <w:bCs/>
          <w:sz w:val="20"/>
          <w:szCs w:val="20"/>
        </w:rPr>
      </w:pPr>
      <w:r>
        <w:rPr>
          <w:rFonts w:cstheme="minorHAnsi"/>
          <w:b w:val="0"/>
          <w:bCs/>
          <w:sz w:val="20"/>
          <w:szCs w:val="20"/>
        </w:rPr>
        <w:t>New topics coming in 2023 include:</w:t>
      </w:r>
    </w:p>
    <w:p w14:paraId="3585C397" w14:textId="77777777" w:rsidR="00D07D3F" w:rsidRDefault="00D07D3F" w:rsidP="00F1234F">
      <w:pPr>
        <w:pStyle w:val="H2"/>
        <w:numPr>
          <w:ilvl w:val="0"/>
          <w:numId w:val="8"/>
        </w:numPr>
        <w:spacing w:before="0"/>
        <w:ind w:right="0"/>
        <w:rPr>
          <w:rFonts w:cstheme="minorHAnsi"/>
          <w:b w:val="0"/>
          <w:bCs/>
          <w:sz w:val="20"/>
          <w:szCs w:val="20"/>
        </w:rPr>
      </w:pPr>
      <w:r>
        <w:rPr>
          <w:rFonts w:cstheme="minorHAnsi"/>
          <w:b w:val="0"/>
          <w:bCs/>
          <w:sz w:val="20"/>
          <w:szCs w:val="20"/>
        </w:rPr>
        <w:t>Return to work strategies</w:t>
      </w:r>
    </w:p>
    <w:p w14:paraId="330B59A5" w14:textId="7659E55D" w:rsidR="00D07D3F" w:rsidRPr="00D07D3F" w:rsidRDefault="00D07D3F" w:rsidP="00F1234F">
      <w:pPr>
        <w:pStyle w:val="H2"/>
        <w:numPr>
          <w:ilvl w:val="0"/>
          <w:numId w:val="8"/>
        </w:numPr>
        <w:spacing w:before="0" w:after="200"/>
        <w:ind w:right="0"/>
        <w:rPr>
          <w:rFonts w:cstheme="minorHAnsi"/>
          <w:b w:val="0"/>
          <w:bCs/>
          <w:sz w:val="20"/>
          <w:szCs w:val="20"/>
        </w:rPr>
      </w:pPr>
      <w:r>
        <w:rPr>
          <w:rFonts w:cstheme="minorHAnsi"/>
          <w:b w:val="0"/>
          <w:bCs/>
          <w:sz w:val="20"/>
          <w:szCs w:val="20"/>
        </w:rPr>
        <w:t>Workers’ compensation strategies for the smaller business</w:t>
      </w:r>
    </w:p>
    <w:p w14:paraId="661E36CD" w14:textId="52C8C420" w:rsidR="003E7C9A" w:rsidRDefault="00D07D3F" w:rsidP="00F1234F">
      <w:pPr>
        <w:pStyle w:val="H2"/>
        <w:spacing w:after="200"/>
        <w:ind w:right="0"/>
        <w:rPr>
          <w:rFonts w:cstheme="minorHAnsi"/>
          <w:b w:val="0"/>
          <w:bCs/>
          <w:sz w:val="20"/>
          <w:szCs w:val="20"/>
        </w:rPr>
      </w:pPr>
      <w:r>
        <w:rPr>
          <w:rFonts w:cstheme="minorHAnsi"/>
          <w:b w:val="0"/>
          <w:bCs/>
          <w:sz w:val="20"/>
          <w:szCs w:val="20"/>
        </w:rPr>
        <w:t>Sedgwick offers these educational programs once or twice monthly. The programs are designated for both private and public employers, private employers only or public employers only.  Additionally, all sessions qualify for 1-hour of the 2-hour Ohio Bureau of Workers’ Compensation safety training requirement for group and group retrospective-rated employers.</w:t>
      </w:r>
      <w:r w:rsidR="003E7C9A" w:rsidRPr="003E7C9A">
        <w:rPr>
          <w:rFonts w:cstheme="minorHAnsi"/>
          <w:b w:val="0"/>
          <w:bCs/>
          <w:sz w:val="20"/>
          <w:szCs w:val="20"/>
        </w:rPr>
        <w:t xml:space="preserve"> </w:t>
      </w:r>
    </w:p>
    <w:p w14:paraId="1507B9FF" w14:textId="63909DEC" w:rsidR="00F1234F" w:rsidRDefault="00437B42" w:rsidP="00F1234F">
      <w:pPr>
        <w:pStyle w:val="H2"/>
        <w:spacing w:after="200"/>
        <w:ind w:right="0"/>
        <w:rPr>
          <w:rFonts w:cstheme="minorHAnsi"/>
          <w:b w:val="0"/>
          <w:bCs/>
          <w:sz w:val="20"/>
          <w:szCs w:val="20"/>
        </w:rPr>
      </w:pPr>
      <w:r>
        <w:rPr>
          <w:rFonts w:cstheme="minorHAnsi"/>
          <w:b w:val="0"/>
          <w:bCs/>
          <w:sz w:val="20"/>
          <w:szCs w:val="20"/>
        </w:rPr>
        <w:t xml:space="preserve">Sedgwick will be offering OSHA/PERRP Recordkeeping webinars in December 2022 and January 2023. </w:t>
      </w:r>
      <w:r w:rsidR="00F1234F">
        <w:rPr>
          <w:rFonts w:cstheme="minorHAnsi"/>
          <w:b w:val="0"/>
          <w:bCs/>
          <w:sz w:val="20"/>
          <w:szCs w:val="20"/>
        </w:rPr>
        <w:t xml:space="preserve">For questions or to register, please email </w:t>
      </w:r>
      <w:hyperlink r:id="rId8" w:history="1">
        <w:r w:rsidR="00F1234F" w:rsidRPr="00F3684E">
          <w:rPr>
            <w:rStyle w:val="Hyperlink"/>
            <w:rFonts w:cstheme="minorHAnsi"/>
            <w:b w:val="0"/>
            <w:bCs/>
            <w:sz w:val="20"/>
            <w:szCs w:val="20"/>
          </w:rPr>
          <w:t>sedgwickohriskservices@sedgwick.com</w:t>
        </w:r>
      </w:hyperlink>
    </w:p>
    <w:p w14:paraId="01C6890E" w14:textId="575FEBEB" w:rsidR="00F1234F" w:rsidRDefault="00F1234F" w:rsidP="00F1234F">
      <w:pPr>
        <w:pStyle w:val="H2"/>
        <w:numPr>
          <w:ilvl w:val="0"/>
          <w:numId w:val="10"/>
        </w:numPr>
        <w:spacing w:before="0"/>
        <w:ind w:right="0"/>
        <w:rPr>
          <w:rFonts w:cstheme="minorHAnsi"/>
          <w:b w:val="0"/>
          <w:bCs/>
          <w:sz w:val="20"/>
          <w:szCs w:val="20"/>
        </w:rPr>
      </w:pPr>
      <w:r>
        <w:rPr>
          <w:rFonts w:cstheme="minorHAnsi"/>
          <w:b w:val="0"/>
          <w:bCs/>
          <w:sz w:val="20"/>
          <w:szCs w:val="20"/>
        </w:rPr>
        <w:t>OSHA Recordkeeping (private employers) will be offered:</w:t>
      </w:r>
    </w:p>
    <w:p w14:paraId="564A05DA" w14:textId="5B672AA3" w:rsidR="00F1234F" w:rsidRDefault="00F1234F" w:rsidP="00F1234F">
      <w:pPr>
        <w:pStyle w:val="H2"/>
        <w:numPr>
          <w:ilvl w:val="1"/>
          <w:numId w:val="10"/>
        </w:numPr>
        <w:spacing w:before="0"/>
        <w:ind w:right="0"/>
        <w:rPr>
          <w:rFonts w:cstheme="minorHAnsi"/>
          <w:b w:val="0"/>
          <w:bCs/>
          <w:sz w:val="20"/>
          <w:szCs w:val="20"/>
        </w:rPr>
      </w:pPr>
      <w:r>
        <w:rPr>
          <w:rFonts w:cstheme="minorHAnsi"/>
          <w:b w:val="0"/>
          <w:bCs/>
          <w:sz w:val="20"/>
          <w:szCs w:val="20"/>
        </w:rPr>
        <w:t>December 6, 2022 – 10:00 am to 12:00 pm</w:t>
      </w:r>
    </w:p>
    <w:p w14:paraId="3AEFA37F" w14:textId="126F3BFB" w:rsidR="00F1234F" w:rsidRPr="00F1234F" w:rsidRDefault="00F1234F" w:rsidP="00F1234F">
      <w:pPr>
        <w:pStyle w:val="H2"/>
        <w:numPr>
          <w:ilvl w:val="1"/>
          <w:numId w:val="10"/>
        </w:numPr>
        <w:spacing w:before="0"/>
        <w:ind w:right="0"/>
        <w:rPr>
          <w:rFonts w:cstheme="minorHAnsi"/>
          <w:b w:val="0"/>
          <w:bCs/>
          <w:sz w:val="20"/>
          <w:szCs w:val="20"/>
        </w:rPr>
      </w:pPr>
      <w:r>
        <w:rPr>
          <w:rFonts w:cstheme="minorHAnsi"/>
          <w:b w:val="0"/>
          <w:bCs/>
          <w:sz w:val="20"/>
          <w:szCs w:val="20"/>
        </w:rPr>
        <w:t>January 11, 2023 – 10:00 am to 12:00 pm</w:t>
      </w:r>
    </w:p>
    <w:p w14:paraId="6B880B46" w14:textId="56636C93" w:rsidR="00F1234F" w:rsidRDefault="00F1234F" w:rsidP="00F1234F">
      <w:pPr>
        <w:pStyle w:val="H2"/>
        <w:numPr>
          <w:ilvl w:val="0"/>
          <w:numId w:val="10"/>
        </w:numPr>
        <w:ind w:right="0"/>
        <w:rPr>
          <w:rFonts w:cstheme="minorHAnsi"/>
          <w:b w:val="0"/>
          <w:bCs/>
          <w:sz w:val="20"/>
          <w:szCs w:val="20"/>
        </w:rPr>
      </w:pPr>
      <w:r>
        <w:rPr>
          <w:rFonts w:cstheme="minorHAnsi"/>
          <w:b w:val="0"/>
          <w:bCs/>
          <w:sz w:val="20"/>
          <w:szCs w:val="20"/>
        </w:rPr>
        <w:t>PERRP Recordkeeping (public employers) will be offered:</w:t>
      </w:r>
    </w:p>
    <w:p w14:paraId="660C81EE" w14:textId="10236A0C" w:rsidR="00F1234F" w:rsidRDefault="00F1234F" w:rsidP="00F1234F">
      <w:pPr>
        <w:pStyle w:val="H2"/>
        <w:numPr>
          <w:ilvl w:val="1"/>
          <w:numId w:val="10"/>
        </w:numPr>
        <w:spacing w:before="0"/>
        <w:ind w:right="0"/>
        <w:rPr>
          <w:rFonts w:cstheme="minorHAnsi"/>
          <w:b w:val="0"/>
          <w:bCs/>
          <w:sz w:val="20"/>
          <w:szCs w:val="20"/>
        </w:rPr>
      </w:pPr>
      <w:r>
        <w:rPr>
          <w:rFonts w:cstheme="minorHAnsi"/>
          <w:b w:val="0"/>
          <w:bCs/>
          <w:sz w:val="20"/>
          <w:szCs w:val="20"/>
        </w:rPr>
        <w:t>December 6, 2022 – 2:00 pm to 4:00 pm</w:t>
      </w:r>
    </w:p>
    <w:p w14:paraId="322A402F" w14:textId="620E1033" w:rsidR="00F1234F" w:rsidRDefault="00F1234F" w:rsidP="00F1234F">
      <w:pPr>
        <w:pStyle w:val="H2"/>
        <w:numPr>
          <w:ilvl w:val="1"/>
          <w:numId w:val="10"/>
        </w:numPr>
        <w:spacing w:before="0" w:after="200"/>
        <w:ind w:right="0"/>
        <w:rPr>
          <w:rFonts w:cstheme="minorHAnsi"/>
          <w:b w:val="0"/>
          <w:bCs/>
          <w:sz w:val="20"/>
          <w:szCs w:val="20"/>
        </w:rPr>
      </w:pPr>
      <w:r>
        <w:rPr>
          <w:rFonts w:cstheme="minorHAnsi"/>
          <w:b w:val="0"/>
          <w:bCs/>
          <w:sz w:val="20"/>
          <w:szCs w:val="20"/>
        </w:rPr>
        <w:t>January 11, 2023 – 2:00 pm to 4:00 pm</w:t>
      </w:r>
    </w:p>
    <w:p w14:paraId="4F8D8A9B" w14:textId="185F5D3F" w:rsidR="00F1234F" w:rsidRDefault="00F1234F" w:rsidP="00F1234F">
      <w:pPr>
        <w:pStyle w:val="H2"/>
        <w:numPr>
          <w:ilvl w:val="0"/>
          <w:numId w:val="10"/>
        </w:numPr>
        <w:ind w:right="0"/>
        <w:rPr>
          <w:rFonts w:cstheme="minorHAnsi"/>
          <w:b w:val="0"/>
          <w:bCs/>
          <w:sz w:val="20"/>
          <w:szCs w:val="20"/>
        </w:rPr>
      </w:pPr>
      <w:r>
        <w:rPr>
          <w:rFonts w:cstheme="minorHAnsi"/>
          <w:b w:val="0"/>
          <w:bCs/>
          <w:sz w:val="20"/>
          <w:szCs w:val="20"/>
        </w:rPr>
        <w:t>Recordkeeping Roundtable – Ask the experts (private and public employers) will be offered:</w:t>
      </w:r>
    </w:p>
    <w:p w14:paraId="040B4763" w14:textId="4E2CB19B" w:rsidR="00F1234F" w:rsidRDefault="00F1234F" w:rsidP="00F1234F">
      <w:pPr>
        <w:pStyle w:val="H2"/>
        <w:numPr>
          <w:ilvl w:val="1"/>
          <w:numId w:val="10"/>
        </w:numPr>
        <w:spacing w:before="0"/>
        <w:ind w:right="0"/>
        <w:rPr>
          <w:rFonts w:cstheme="minorHAnsi"/>
          <w:b w:val="0"/>
          <w:bCs/>
          <w:sz w:val="20"/>
          <w:szCs w:val="20"/>
        </w:rPr>
      </w:pPr>
      <w:r>
        <w:rPr>
          <w:rFonts w:cstheme="minorHAnsi"/>
          <w:b w:val="0"/>
          <w:bCs/>
          <w:sz w:val="20"/>
          <w:szCs w:val="20"/>
        </w:rPr>
        <w:t>December 15, 2022 – 10:00 am to 11:00 am</w:t>
      </w:r>
    </w:p>
    <w:p w14:paraId="50906C0A" w14:textId="2ABDD51C" w:rsidR="00F1234F" w:rsidRPr="00F1234F" w:rsidRDefault="00F1234F" w:rsidP="00F1234F">
      <w:pPr>
        <w:pStyle w:val="H2"/>
        <w:numPr>
          <w:ilvl w:val="1"/>
          <w:numId w:val="10"/>
        </w:numPr>
        <w:spacing w:before="0" w:after="200"/>
        <w:ind w:right="0"/>
        <w:rPr>
          <w:rFonts w:cstheme="minorHAnsi"/>
          <w:b w:val="0"/>
          <w:bCs/>
          <w:sz w:val="20"/>
          <w:szCs w:val="20"/>
        </w:rPr>
      </w:pPr>
      <w:r>
        <w:rPr>
          <w:rFonts w:cstheme="minorHAnsi"/>
          <w:b w:val="0"/>
          <w:bCs/>
          <w:sz w:val="20"/>
          <w:szCs w:val="20"/>
        </w:rPr>
        <w:t>January 18, 2023 – 10:00 am to 11:00 am</w:t>
      </w:r>
    </w:p>
    <w:p w14:paraId="7F8FE038" w14:textId="51451E4D" w:rsidR="00D07D3F" w:rsidRPr="003E7C9A" w:rsidRDefault="00005686" w:rsidP="00F1234F">
      <w:pPr>
        <w:pStyle w:val="H2"/>
        <w:spacing w:after="200"/>
        <w:ind w:right="0"/>
        <w:rPr>
          <w:rFonts w:cstheme="minorHAnsi"/>
          <w:b w:val="0"/>
          <w:bCs/>
          <w:sz w:val="20"/>
          <w:szCs w:val="20"/>
        </w:rPr>
      </w:pPr>
      <w:r>
        <w:rPr>
          <w:rFonts w:cstheme="minorHAnsi"/>
          <w:b w:val="0"/>
          <w:bCs/>
          <w:sz w:val="20"/>
          <w:szCs w:val="20"/>
        </w:rPr>
        <w:t>Sedgwick will</w:t>
      </w:r>
      <w:r w:rsidR="0036326C">
        <w:rPr>
          <w:rFonts w:cstheme="minorHAnsi"/>
          <w:b w:val="0"/>
          <w:bCs/>
          <w:sz w:val="20"/>
          <w:szCs w:val="20"/>
        </w:rPr>
        <w:t xml:space="preserve"> be releasing their 2023 education program </w:t>
      </w:r>
      <w:r w:rsidR="0047619E">
        <w:rPr>
          <w:rFonts w:cstheme="minorHAnsi"/>
          <w:b w:val="0"/>
          <w:bCs/>
          <w:sz w:val="20"/>
          <w:szCs w:val="20"/>
        </w:rPr>
        <w:t xml:space="preserve">schedule </w:t>
      </w:r>
      <w:r w:rsidR="00B31992">
        <w:rPr>
          <w:rFonts w:cstheme="minorHAnsi"/>
          <w:b w:val="0"/>
          <w:bCs/>
          <w:sz w:val="20"/>
          <w:szCs w:val="20"/>
        </w:rPr>
        <w:t>in January</w:t>
      </w:r>
      <w:r w:rsidR="0036326C">
        <w:rPr>
          <w:rFonts w:cstheme="minorHAnsi"/>
          <w:b w:val="0"/>
          <w:bCs/>
          <w:sz w:val="20"/>
          <w:szCs w:val="20"/>
        </w:rPr>
        <w:t xml:space="preserve">.  Look for future communications with the dates, times and topics for the 2023 series. </w:t>
      </w:r>
    </w:p>
    <w:p w14:paraId="46391CC8" w14:textId="75D23C37" w:rsidR="00C53BFA" w:rsidRDefault="002E1197" w:rsidP="00F1234F">
      <w:pPr>
        <w:pStyle w:val="H2"/>
        <w:ind w:right="0"/>
      </w:pPr>
      <w:r w:rsidRPr="002E1197">
        <w:rPr>
          <w:rFonts w:cstheme="minorHAnsi"/>
          <w:b w:val="0"/>
          <w:bCs/>
          <w:sz w:val="20"/>
          <w:szCs w:val="20"/>
        </w:rPr>
        <w:t xml:space="preserve">If you have any questions, contact our Sedgwick </w:t>
      </w:r>
      <w:r w:rsidR="00D94849">
        <w:rPr>
          <w:rFonts w:cstheme="minorHAnsi"/>
          <w:b w:val="0"/>
          <w:bCs/>
          <w:sz w:val="20"/>
          <w:szCs w:val="20"/>
        </w:rPr>
        <w:t xml:space="preserve">program manager, </w:t>
      </w:r>
      <w:r w:rsidR="00A77827">
        <w:rPr>
          <w:rFonts w:cstheme="minorHAnsi"/>
          <w:b w:val="0"/>
          <w:bCs/>
          <w:sz w:val="20"/>
          <w:szCs w:val="20"/>
        </w:rPr>
        <w:t>Rejeana Woolum-Napier</w:t>
      </w:r>
      <w:r w:rsidR="00EB5759" w:rsidRPr="00EB5759">
        <w:rPr>
          <w:rFonts w:cstheme="minorHAnsi"/>
          <w:b w:val="0"/>
          <w:bCs/>
          <w:sz w:val="20"/>
          <w:szCs w:val="20"/>
        </w:rPr>
        <w:t xml:space="preserve">, at </w:t>
      </w:r>
      <w:r w:rsidR="00A77827">
        <w:rPr>
          <w:rFonts w:cstheme="minorHAnsi"/>
          <w:b w:val="0"/>
          <w:bCs/>
          <w:sz w:val="20"/>
          <w:szCs w:val="20"/>
        </w:rPr>
        <w:t>(614) 359-2403</w:t>
      </w:r>
      <w:r w:rsidR="00954FC1">
        <w:rPr>
          <w:rFonts w:cstheme="minorHAnsi"/>
          <w:b w:val="0"/>
          <w:bCs/>
          <w:sz w:val="20"/>
          <w:szCs w:val="20"/>
        </w:rPr>
        <w:t xml:space="preserve"> or </w:t>
      </w:r>
      <w:r w:rsidR="00A77827">
        <w:rPr>
          <w:rFonts w:cstheme="minorHAnsi"/>
          <w:b w:val="0"/>
          <w:bCs/>
          <w:sz w:val="20"/>
          <w:szCs w:val="20"/>
        </w:rPr>
        <w:t>rejeana.woolum-napier@sedgwick.com</w:t>
      </w:r>
      <w:r w:rsidRPr="002E1197">
        <w:rPr>
          <w:rFonts w:cstheme="minorHAnsi"/>
          <w:b w:val="0"/>
          <w:bCs/>
          <w:sz w:val="20"/>
          <w:szCs w:val="20"/>
        </w:rPr>
        <w:t>.</w:t>
      </w:r>
    </w:p>
    <w:sectPr w:rsidR="00C53BFA"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A032" w14:textId="77777777" w:rsidR="00EF0FE1" w:rsidRDefault="00EF0FE1">
      <w:pPr>
        <w:spacing w:after="0" w:line="240" w:lineRule="auto"/>
      </w:pPr>
      <w:r>
        <w:separator/>
      </w:r>
    </w:p>
  </w:endnote>
  <w:endnote w:type="continuationSeparator" w:id="0">
    <w:p w14:paraId="1678E1D4" w14:textId="77777777" w:rsidR="00EF0FE1" w:rsidRDefault="00EF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EF0FE1">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8BA8" w14:textId="77777777" w:rsidR="00EF0FE1" w:rsidRDefault="00EF0FE1">
      <w:pPr>
        <w:spacing w:after="0" w:line="240" w:lineRule="auto"/>
      </w:pPr>
      <w:r>
        <w:separator/>
      </w:r>
    </w:p>
  </w:footnote>
  <w:footnote w:type="continuationSeparator" w:id="0">
    <w:p w14:paraId="76A4A187" w14:textId="77777777" w:rsidR="00EF0FE1" w:rsidRDefault="00EF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EF0FE1">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A2D0E"/>
    <w:multiLevelType w:val="hybridMultilevel"/>
    <w:tmpl w:val="413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A24E1"/>
    <w:multiLevelType w:val="hybridMultilevel"/>
    <w:tmpl w:val="00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806DE"/>
    <w:rsid w:val="000F43B2"/>
    <w:rsid w:val="00103799"/>
    <w:rsid w:val="00156639"/>
    <w:rsid w:val="00183EC0"/>
    <w:rsid w:val="00282D6D"/>
    <w:rsid w:val="00285370"/>
    <w:rsid w:val="002E1197"/>
    <w:rsid w:val="0036326C"/>
    <w:rsid w:val="003E7C9A"/>
    <w:rsid w:val="00427D8F"/>
    <w:rsid w:val="004308A6"/>
    <w:rsid w:val="00437B42"/>
    <w:rsid w:val="004517F4"/>
    <w:rsid w:val="00464BDC"/>
    <w:rsid w:val="0047402C"/>
    <w:rsid w:val="0047619E"/>
    <w:rsid w:val="00482436"/>
    <w:rsid w:val="004913AC"/>
    <w:rsid w:val="004A33CB"/>
    <w:rsid w:val="004A6675"/>
    <w:rsid w:val="004C76F5"/>
    <w:rsid w:val="005759DD"/>
    <w:rsid w:val="005A03AB"/>
    <w:rsid w:val="005C55C5"/>
    <w:rsid w:val="006226E7"/>
    <w:rsid w:val="00632D73"/>
    <w:rsid w:val="00650C5D"/>
    <w:rsid w:val="00652A13"/>
    <w:rsid w:val="0068539C"/>
    <w:rsid w:val="006B7AED"/>
    <w:rsid w:val="006D0918"/>
    <w:rsid w:val="007A061C"/>
    <w:rsid w:val="00871514"/>
    <w:rsid w:val="008C3461"/>
    <w:rsid w:val="009429DF"/>
    <w:rsid w:val="00954FC1"/>
    <w:rsid w:val="00964475"/>
    <w:rsid w:val="009C3339"/>
    <w:rsid w:val="009C5959"/>
    <w:rsid w:val="009E6FD9"/>
    <w:rsid w:val="00A52E69"/>
    <w:rsid w:val="00A62329"/>
    <w:rsid w:val="00A77827"/>
    <w:rsid w:val="00AD4C08"/>
    <w:rsid w:val="00AF193B"/>
    <w:rsid w:val="00B06F31"/>
    <w:rsid w:val="00B31992"/>
    <w:rsid w:val="00B54368"/>
    <w:rsid w:val="00B7732D"/>
    <w:rsid w:val="00C531A9"/>
    <w:rsid w:val="00C53BFA"/>
    <w:rsid w:val="00CF4EC0"/>
    <w:rsid w:val="00D07068"/>
    <w:rsid w:val="00D07D3F"/>
    <w:rsid w:val="00D41B4B"/>
    <w:rsid w:val="00D454E1"/>
    <w:rsid w:val="00D90A63"/>
    <w:rsid w:val="00D93E3B"/>
    <w:rsid w:val="00D94849"/>
    <w:rsid w:val="00E025BA"/>
    <w:rsid w:val="00E34FF8"/>
    <w:rsid w:val="00EB5759"/>
    <w:rsid w:val="00EC65CC"/>
    <w:rsid w:val="00ED1F7B"/>
    <w:rsid w:val="00EF0FE1"/>
    <w:rsid w:val="00EF79A0"/>
    <w:rsid w:val="00F1234F"/>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gwickohriskservices@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2021-06-08T16:18:00Z</cp:lastPrinted>
  <dcterms:created xsi:type="dcterms:W3CDTF">2022-11-30T13:53:00Z</dcterms:created>
  <dcterms:modified xsi:type="dcterms:W3CDTF">2022-11-30T13:53:00Z</dcterms:modified>
</cp:coreProperties>
</file>