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31E45" w14:textId="77777777" w:rsidR="00667BD4" w:rsidRDefault="00B0389C">
      <w:r>
        <w:rPr>
          <w:noProof/>
        </w:rPr>
        <w:pict w14:anchorId="2B777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5pt;margin-top:0;width:109.5pt;height:57pt;z-index:251659264;mso-position-horizontal-relative:text;mso-position-vertical-relative:text;mso-width-relative:page;mso-height-relative:page">
            <v:imagedata r:id="rId7" o:title="OPRA Logo_032415_with dots_high res_5"/>
            <w10:wrap type="square"/>
          </v:shape>
        </w:pict>
      </w:r>
    </w:p>
    <w:p w14:paraId="3EBD3121" w14:textId="77777777" w:rsidR="00B45E6F" w:rsidRDefault="00DE26FE" w:rsidP="00667BD4">
      <w:pPr>
        <w:jc w:val="center"/>
        <w:rPr>
          <w:b/>
        </w:rPr>
      </w:pPr>
      <w:r w:rsidRPr="00667BD4">
        <w:rPr>
          <w:b/>
        </w:rPr>
        <w:t>OPRA Proposed</w:t>
      </w:r>
      <w:r w:rsidR="00667BD4" w:rsidRPr="00667BD4">
        <w:rPr>
          <w:b/>
        </w:rPr>
        <w:t xml:space="preserve"> FY 2020-2012 Operating Budget</w:t>
      </w:r>
      <w:r w:rsidRPr="00667BD4">
        <w:rPr>
          <w:b/>
        </w:rPr>
        <w:t xml:space="preserve"> Amendment</w:t>
      </w:r>
    </w:p>
    <w:p w14:paraId="7B12A6C3" w14:textId="77777777" w:rsidR="00667BD4" w:rsidRDefault="00667BD4" w:rsidP="00667BD4">
      <w:pPr>
        <w:rPr>
          <w:b/>
        </w:rPr>
      </w:pPr>
    </w:p>
    <w:p w14:paraId="159476A3" w14:textId="77777777" w:rsidR="004464AA" w:rsidRPr="004464AA" w:rsidRDefault="004464AA" w:rsidP="00B71F17">
      <w:pPr>
        <w:rPr>
          <w:b/>
        </w:rPr>
      </w:pPr>
      <w:r w:rsidRPr="004464AA">
        <w:rPr>
          <w:b/>
        </w:rPr>
        <w:t>Current Appropriations</w:t>
      </w:r>
    </w:p>
    <w:p w14:paraId="7B97FEFD" w14:textId="3C4CCE2C" w:rsidR="00B71F17" w:rsidRDefault="00B0389C" w:rsidP="00B71F17">
      <w:r>
        <w:rPr>
          <w:noProof/>
        </w:rPr>
        <w:pict w14:anchorId="209ED7BF">
          <v:group id="_x0000_s1029" style="position:absolute;margin-left:6pt;margin-top:55.05pt;width:705pt;height:267.65pt;z-index:251664384" coordorigin="720,1286" coordsize="11480,4489">
            <v:shape id="_x0000_s1027" type="#_x0000_t75" style="position:absolute;left:10873;top:1286;width:1327;height:4489;mso-position-horizontal-relative:text;mso-position-vertical-relative:text;mso-width-relative:page;mso-height-relative:page">
              <v:imagedata r:id="rId8" o:title="653407" croptop="-3791f" cropleft="49408f" cropright="10552f"/>
            </v:shape>
            <v:shape id="_x0000_s1028" type="#_x0000_t75" style="position:absolute;left:720;top:1516;width:10243;height:4259;mso-position-horizontal:absolute;mso-position-horizontal-relative:text;mso-position-vertical:absolute;mso-position-vertical-relative:text;mso-width-relative:page;mso-height-relative:page">
              <v:imagedata r:id="rId8" o:title="653407" cropright="25763f"/>
            </v:shape>
          </v:group>
        </w:pict>
      </w:r>
      <w:r w:rsidR="00C309BF">
        <w:t xml:space="preserve">The state funding for most of the waiver services comes from this line item GRF </w:t>
      </w:r>
      <w:r w:rsidR="00DF6A17">
        <w:t xml:space="preserve">(General Revenue Funds) </w:t>
      </w:r>
      <w:r w:rsidR="00C309BF">
        <w:t>653407</w:t>
      </w:r>
      <w:r w:rsidR="00C365B1">
        <w:t xml:space="preserve"> Medicaid Services</w:t>
      </w:r>
      <w:r w:rsidR="00C309BF">
        <w:t>. F</w:t>
      </w:r>
      <w:r w:rsidR="00DC6D05">
        <w:t xml:space="preserve">or fiscal year </w:t>
      </w:r>
      <w:r w:rsidR="004972B3">
        <w:t xml:space="preserve">(FY) </w:t>
      </w:r>
      <w:r w:rsidR="00DC6D05">
        <w:t xml:space="preserve">2020, Governor DeWine and Director Davis </w:t>
      </w:r>
      <w:r w:rsidR="004972B3">
        <w:t>plan to spend</w:t>
      </w:r>
      <w:r w:rsidR="00DC6D05">
        <w:t xml:space="preserve"> $654,394,484 </w:t>
      </w:r>
      <w:r w:rsidR="004972B3">
        <w:t>on</w:t>
      </w:r>
      <w:r w:rsidR="00DC6D05">
        <w:t xml:space="preserve"> the Medicaid Services line item</w:t>
      </w:r>
      <w:r w:rsidR="004972B3" w:rsidRPr="004972B3">
        <w:t xml:space="preserve"> </w:t>
      </w:r>
      <w:r w:rsidR="004972B3">
        <w:t>(</w:t>
      </w:r>
      <w:r w:rsidR="004972B3" w:rsidRPr="00C365B1">
        <w:t>GRF 653407</w:t>
      </w:r>
      <w:r w:rsidR="004972B3">
        <w:t>)</w:t>
      </w:r>
      <w:r w:rsidR="00DC6D05">
        <w:t xml:space="preserve">. For </w:t>
      </w:r>
      <w:r w:rsidR="004972B3">
        <w:t>FY</w:t>
      </w:r>
      <w:r w:rsidR="00DC6D05">
        <w:t xml:space="preserve"> 2021 the</w:t>
      </w:r>
      <w:r w:rsidR="004972B3">
        <w:t xml:space="preserve"> Governor and Director Davis</w:t>
      </w:r>
      <w:r w:rsidR="00DC6D05">
        <w:t xml:space="preserve"> </w:t>
      </w:r>
      <w:r w:rsidR="004972B3">
        <w:t>plan to spend</w:t>
      </w:r>
      <w:r w:rsidR="00C309BF">
        <w:t xml:space="preserve"> $655,368,800</w:t>
      </w:r>
      <w:r w:rsidR="004972B3">
        <w:t xml:space="preserve"> </w:t>
      </w:r>
      <w:r w:rsidR="004972B3" w:rsidRPr="004972B3">
        <w:t>on the Medicaid Services line item (GRF 653407)</w:t>
      </w:r>
      <w:r w:rsidR="00C309BF">
        <w:t xml:space="preserve">. This is reflected in the highlighting below. </w:t>
      </w:r>
    </w:p>
    <w:p w14:paraId="6A3F05D6" w14:textId="0ECFE126" w:rsidR="0006602C" w:rsidRDefault="0006602C" w:rsidP="00B71F17"/>
    <w:p w14:paraId="57FD32B0" w14:textId="77777777" w:rsidR="0006602C" w:rsidRDefault="0006602C" w:rsidP="00B71F17"/>
    <w:p w14:paraId="111E1D75" w14:textId="77777777" w:rsidR="00C309BF" w:rsidRDefault="00C309BF" w:rsidP="00667BD4">
      <w:pPr>
        <w:pStyle w:val="ListParagraph"/>
        <w:ind w:left="0"/>
      </w:pPr>
    </w:p>
    <w:p w14:paraId="4B5CDA8F" w14:textId="77777777" w:rsidR="00C309BF" w:rsidRDefault="00C309BF" w:rsidP="00667BD4">
      <w:pPr>
        <w:pStyle w:val="ListParagraph"/>
        <w:ind w:left="0"/>
      </w:pPr>
    </w:p>
    <w:p w14:paraId="44397D9C" w14:textId="77777777" w:rsidR="00C309BF" w:rsidRDefault="00C309BF" w:rsidP="00667BD4">
      <w:pPr>
        <w:pStyle w:val="ListParagraph"/>
        <w:ind w:left="0"/>
      </w:pPr>
    </w:p>
    <w:p w14:paraId="6C94A575" w14:textId="77777777" w:rsidR="00C309BF" w:rsidRDefault="00C309BF" w:rsidP="00667BD4">
      <w:pPr>
        <w:pStyle w:val="ListParagraph"/>
        <w:ind w:left="0"/>
      </w:pPr>
    </w:p>
    <w:p w14:paraId="1D9C66E7" w14:textId="77777777" w:rsidR="00C309BF" w:rsidRDefault="00C309BF" w:rsidP="00667BD4">
      <w:pPr>
        <w:pStyle w:val="ListParagraph"/>
        <w:ind w:left="0"/>
      </w:pPr>
    </w:p>
    <w:p w14:paraId="142466E4" w14:textId="77777777" w:rsidR="00C309BF" w:rsidRDefault="00C309BF" w:rsidP="00667BD4">
      <w:pPr>
        <w:pStyle w:val="ListParagraph"/>
        <w:ind w:left="0"/>
      </w:pPr>
    </w:p>
    <w:p w14:paraId="538BEA6E" w14:textId="77777777" w:rsidR="00C309BF" w:rsidRDefault="00C309BF" w:rsidP="00667BD4">
      <w:pPr>
        <w:pStyle w:val="ListParagraph"/>
        <w:ind w:left="0"/>
      </w:pPr>
    </w:p>
    <w:p w14:paraId="39AD613E" w14:textId="77777777" w:rsidR="00C309BF" w:rsidRDefault="00C309BF" w:rsidP="00667BD4">
      <w:pPr>
        <w:pStyle w:val="ListParagraph"/>
        <w:ind w:left="0"/>
      </w:pPr>
    </w:p>
    <w:p w14:paraId="4B7854D9" w14:textId="77777777" w:rsidR="00C309BF" w:rsidRDefault="00C309BF" w:rsidP="00667BD4">
      <w:pPr>
        <w:pStyle w:val="ListParagraph"/>
        <w:ind w:left="0"/>
      </w:pPr>
    </w:p>
    <w:p w14:paraId="625BF40D" w14:textId="77777777" w:rsidR="00C309BF" w:rsidRDefault="00C309BF" w:rsidP="00667BD4">
      <w:pPr>
        <w:pStyle w:val="ListParagraph"/>
        <w:ind w:left="0"/>
      </w:pPr>
    </w:p>
    <w:p w14:paraId="7CAE9426" w14:textId="77777777" w:rsidR="00C309BF" w:rsidRDefault="00C309BF" w:rsidP="00667BD4">
      <w:pPr>
        <w:pStyle w:val="ListParagraph"/>
        <w:ind w:left="0"/>
      </w:pPr>
    </w:p>
    <w:p w14:paraId="5076788E" w14:textId="77777777" w:rsidR="00C309BF" w:rsidRDefault="00C309BF" w:rsidP="00667BD4">
      <w:pPr>
        <w:pStyle w:val="ListParagraph"/>
        <w:ind w:left="0"/>
      </w:pPr>
    </w:p>
    <w:p w14:paraId="6BFBB813" w14:textId="77777777" w:rsidR="00C309BF" w:rsidRDefault="00C309BF" w:rsidP="00667BD4">
      <w:pPr>
        <w:pStyle w:val="ListParagraph"/>
        <w:ind w:left="0"/>
      </w:pPr>
    </w:p>
    <w:p w14:paraId="32D19E99" w14:textId="77777777" w:rsidR="00C309BF" w:rsidRDefault="00C309BF" w:rsidP="00667BD4">
      <w:pPr>
        <w:pStyle w:val="ListParagraph"/>
        <w:ind w:left="0"/>
      </w:pPr>
    </w:p>
    <w:p w14:paraId="2EBE2A6D" w14:textId="77777777" w:rsidR="00C309BF" w:rsidRDefault="00C309BF" w:rsidP="00667BD4">
      <w:pPr>
        <w:pStyle w:val="ListParagraph"/>
        <w:ind w:left="0"/>
      </w:pPr>
    </w:p>
    <w:p w14:paraId="506E5F14" w14:textId="77777777" w:rsidR="00667BD4" w:rsidRDefault="00667BD4" w:rsidP="00667BD4">
      <w:pPr>
        <w:pStyle w:val="ListParagraph"/>
        <w:ind w:left="0"/>
      </w:pPr>
    </w:p>
    <w:p w14:paraId="3542670C" w14:textId="77777777" w:rsidR="00C309BF" w:rsidRDefault="00C309BF" w:rsidP="00667BD4">
      <w:pPr>
        <w:pStyle w:val="ListParagraph"/>
        <w:ind w:left="0"/>
      </w:pPr>
    </w:p>
    <w:p w14:paraId="4F77F699" w14:textId="77777777" w:rsidR="00C309BF" w:rsidRDefault="00C309BF" w:rsidP="00667BD4">
      <w:pPr>
        <w:pStyle w:val="ListParagraph"/>
        <w:ind w:left="0"/>
      </w:pPr>
    </w:p>
    <w:p w14:paraId="483C311C" w14:textId="77777777" w:rsidR="00C309BF" w:rsidRDefault="00C309BF" w:rsidP="00667BD4">
      <w:pPr>
        <w:pStyle w:val="ListParagraph"/>
        <w:ind w:left="0"/>
      </w:pPr>
    </w:p>
    <w:p w14:paraId="4834DDBB" w14:textId="77777777" w:rsidR="00C309BF" w:rsidRDefault="00C309BF" w:rsidP="00667BD4">
      <w:pPr>
        <w:pStyle w:val="ListParagraph"/>
        <w:ind w:left="0"/>
      </w:pPr>
    </w:p>
    <w:p w14:paraId="2F2B319E" w14:textId="77777777" w:rsidR="00C309BF" w:rsidRDefault="00C309BF" w:rsidP="00667BD4">
      <w:pPr>
        <w:pStyle w:val="ListParagraph"/>
        <w:ind w:left="0"/>
      </w:pPr>
    </w:p>
    <w:p w14:paraId="15F8F346" w14:textId="53AAA96E" w:rsidR="00C309BF" w:rsidRDefault="00C309BF" w:rsidP="00667BD4">
      <w:pPr>
        <w:pStyle w:val="ListParagraph"/>
        <w:ind w:left="0"/>
      </w:pPr>
    </w:p>
    <w:p w14:paraId="6ACD0FCF" w14:textId="5F809020" w:rsidR="00ED5C60" w:rsidRDefault="00ED5C60" w:rsidP="00C309BF">
      <w:pPr>
        <w:pStyle w:val="ListParagraph"/>
        <w:ind w:left="0"/>
        <w:rPr>
          <w:b/>
        </w:rPr>
      </w:pPr>
      <w:r>
        <w:rPr>
          <w:b/>
        </w:rPr>
        <w:lastRenderedPageBreak/>
        <w:t>Amendments</w:t>
      </w:r>
    </w:p>
    <w:p w14:paraId="62260F2A" w14:textId="77777777" w:rsidR="00ED5C60" w:rsidRDefault="00ED5C60" w:rsidP="00C309BF">
      <w:pPr>
        <w:pStyle w:val="ListParagraph"/>
        <w:ind w:left="0"/>
        <w:rPr>
          <w:b/>
        </w:rPr>
      </w:pPr>
    </w:p>
    <w:p w14:paraId="031B0CB8" w14:textId="1B3DB477" w:rsidR="00ED5C60" w:rsidRDefault="006A5730" w:rsidP="00C309BF">
      <w:pPr>
        <w:pStyle w:val="ListParagraph"/>
        <w:ind w:left="0"/>
      </w:pPr>
      <w:r>
        <w:t>As</w:t>
      </w:r>
      <w:r w:rsidR="00ED5C60">
        <w:t xml:space="preserve"> of 4/11/2019, the various House of Representative Committees are </w:t>
      </w:r>
      <w:r>
        <w:t xml:space="preserve">finishing up public hearings on the proposed budget. After hearings are finished, the Committees will share their suggestions to amend the budget with the </w:t>
      </w:r>
      <w:r w:rsidR="004972B3">
        <w:t xml:space="preserve">House of Representatives Leadership and the </w:t>
      </w:r>
      <w:r>
        <w:t xml:space="preserve">Speaker of the House. The general public can also submit amendments to the budget to the Speaker of the House. </w:t>
      </w:r>
      <w:r w:rsidR="0006602C">
        <w:t>OPRA</w:t>
      </w:r>
      <w:r w:rsidR="001B1FEA">
        <w:t xml:space="preserve"> anticipate</w:t>
      </w:r>
      <w:r w:rsidR="0006602C">
        <w:t>s</w:t>
      </w:r>
      <w:r w:rsidR="001B1FEA">
        <w:t xml:space="preserve"> the House of Representatives Leadership will have to review </w:t>
      </w:r>
      <w:r w:rsidR="006C5F55">
        <w:t>at least</w:t>
      </w:r>
      <w:r w:rsidR="001B1FEA">
        <w:t xml:space="preserve"> 800 amendment</w:t>
      </w:r>
      <w:r w:rsidR="00960F8E">
        <w:t>s</w:t>
      </w:r>
      <w:r w:rsidR="006C5F55">
        <w:t xml:space="preserve"> to this biennium </w:t>
      </w:r>
      <w:r w:rsidR="001B1FEA">
        <w:t>budget.</w:t>
      </w:r>
      <w:r w:rsidR="006C5F55">
        <w:t xml:space="preserve"> </w:t>
      </w:r>
    </w:p>
    <w:p w14:paraId="5E50DECF" w14:textId="77777777" w:rsidR="00ED5C60" w:rsidRPr="00ED5C60" w:rsidRDefault="00ED5C60" w:rsidP="00C309BF">
      <w:pPr>
        <w:pStyle w:val="ListParagraph"/>
        <w:ind w:left="0"/>
      </w:pPr>
    </w:p>
    <w:p w14:paraId="0A9975D0" w14:textId="6FF9A22C" w:rsidR="00C309BF" w:rsidRPr="004464AA" w:rsidRDefault="004464AA" w:rsidP="00C309BF">
      <w:pPr>
        <w:pStyle w:val="ListParagraph"/>
        <w:ind w:left="0"/>
        <w:rPr>
          <w:b/>
        </w:rPr>
      </w:pPr>
      <w:r w:rsidRPr="004464AA">
        <w:rPr>
          <w:b/>
        </w:rPr>
        <w:t xml:space="preserve">OPRA’s </w:t>
      </w:r>
      <w:r w:rsidR="00B0389C">
        <w:rPr>
          <w:b/>
        </w:rPr>
        <w:t xml:space="preserve">Proposed </w:t>
      </w:r>
      <w:r w:rsidRPr="004464AA">
        <w:rPr>
          <w:b/>
        </w:rPr>
        <w:t>Amendment</w:t>
      </w:r>
    </w:p>
    <w:p w14:paraId="3C495493" w14:textId="77777777" w:rsidR="004464AA" w:rsidRDefault="004464AA" w:rsidP="00C309BF">
      <w:pPr>
        <w:pStyle w:val="ListParagraph"/>
        <w:ind w:left="0"/>
      </w:pPr>
    </w:p>
    <w:p w14:paraId="643E6517" w14:textId="792B7562" w:rsidR="00C309BF" w:rsidRPr="003720CC" w:rsidRDefault="009E7FA3" w:rsidP="00C309BF">
      <w:pPr>
        <w:pStyle w:val="ListParagraph"/>
        <w:ind w:left="0"/>
      </w:pPr>
      <w:r>
        <w:t xml:space="preserve">OPRA is supportive of Governor DeWine and Director Davis’ budget proposals. </w:t>
      </w:r>
      <w:r w:rsidR="00C309BF" w:rsidRPr="003720CC">
        <w:t xml:space="preserve">OPRA submitted the following language to the Speaker of the House as an amendment to </w:t>
      </w:r>
      <w:r w:rsidR="00960F8E">
        <w:t>the</w:t>
      </w:r>
      <w:r>
        <w:t xml:space="preserve"> budget. These proposed amendments </w:t>
      </w:r>
      <w:r w:rsidR="001F3A3A">
        <w:t>are meant to build upon the Governor and Director Davis’ budget ask and assumes the proposed budget num</w:t>
      </w:r>
      <w:r w:rsidR="00960F8E">
        <w:t xml:space="preserve">bers </w:t>
      </w:r>
      <w:r w:rsidR="008378FA">
        <w:t>are not</w:t>
      </w:r>
      <w:r w:rsidR="00960F8E">
        <w:t xml:space="preserve"> changed by the L</w:t>
      </w:r>
      <w:r w:rsidR="001F3A3A">
        <w:t xml:space="preserve">egislature. </w:t>
      </w:r>
    </w:p>
    <w:p w14:paraId="48B90D74" w14:textId="77777777" w:rsidR="00C309BF" w:rsidRDefault="00C309BF" w:rsidP="00C309BF">
      <w:pPr>
        <w:pStyle w:val="ListParagraph"/>
      </w:pPr>
    </w:p>
    <w:p w14:paraId="7E45FCC5" w14:textId="77777777" w:rsidR="00BD2BE7" w:rsidRPr="003720CC" w:rsidRDefault="00BD2BE7" w:rsidP="00BD2BE7">
      <w:pPr>
        <w:pStyle w:val="ListParagraph"/>
        <w:numPr>
          <w:ilvl w:val="0"/>
          <w:numId w:val="3"/>
        </w:numPr>
        <w:rPr>
          <w:b/>
        </w:rPr>
      </w:pPr>
      <w:r w:rsidRPr="003720CC">
        <w:rPr>
          <w:b/>
        </w:rPr>
        <w:t>Increase appropriation line item GRF</w:t>
      </w:r>
      <w:r>
        <w:rPr>
          <w:b/>
        </w:rPr>
        <w:t xml:space="preserve"> (General Revenue Fund)</w:t>
      </w:r>
      <w:r w:rsidRPr="003720CC">
        <w:rPr>
          <w:b/>
        </w:rPr>
        <w:t xml:space="preserve"> 653407 by $13.75 million (state matching funds) in each year over As Introduced Version of HB 166.</w:t>
      </w:r>
    </w:p>
    <w:p w14:paraId="5DFF0567" w14:textId="77777777" w:rsidR="00BD2BE7" w:rsidRDefault="00BD2BE7" w:rsidP="00BD2BE7">
      <w:pPr>
        <w:pStyle w:val="ListParagraph"/>
      </w:pPr>
      <w:r>
        <w:t xml:space="preserve">  </w:t>
      </w:r>
    </w:p>
    <w:p w14:paraId="1B7F39BB" w14:textId="77777777" w:rsidR="00BD2BE7" w:rsidRDefault="00BD2BE7" w:rsidP="00DF6A17">
      <w:pPr>
        <w:pStyle w:val="ListParagraph"/>
        <w:numPr>
          <w:ilvl w:val="0"/>
          <w:numId w:val="3"/>
        </w:numPr>
        <w:ind w:left="2160"/>
        <w:rPr>
          <w:b/>
        </w:rPr>
      </w:pPr>
      <w:r w:rsidRPr="003720CC">
        <w:rPr>
          <w:b/>
        </w:rPr>
        <w:t xml:space="preserve">Of the ALI 653407 increase in 1 above, $11 million (state matching funds) in each fiscal year shall be utilized to increase the rate for Medicaid homemaker personal care services so that direct care wages reach a statewide average of $13 per hour. </w:t>
      </w:r>
    </w:p>
    <w:p w14:paraId="7AD67154" w14:textId="77777777" w:rsidR="00BD2BE7" w:rsidRPr="003720CC" w:rsidRDefault="00BD2BE7" w:rsidP="00DF6A17">
      <w:pPr>
        <w:pStyle w:val="ListParagraph"/>
        <w:ind w:left="1440"/>
        <w:rPr>
          <w:b/>
        </w:rPr>
      </w:pPr>
    </w:p>
    <w:p w14:paraId="0FC69EC7" w14:textId="77777777" w:rsidR="00BD2BE7" w:rsidRDefault="00BD2BE7" w:rsidP="00DF6A17">
      <w:pPr>
        <w:pStyle w:val="ListParagraph"/>
        <w:numPr>
          <w:ilvl w:val="0"/>
          <w:numId w:val="3"/>
        </w:numPr>
        <w:ind w:left="2160"/>
        <w:rPr>
          <w:b/>
        </w:rPr>
      </w:pPr>
      <w:r w:rsidRPr="003720CC">
        <w:rPr>
          <w:b/>
        </w:rPr>
        <w:t xml:space="preserve">Of ALI 653407 increase in 1 above, $2.75 million (state matching funds) in each year shall be utilized to increase Medicaid payment rates for day programs serving individuals with intellectual and developmental disabilities in order to comply with federal community integration mandates. </w:t>
      </w:r>
    </w:p>
    <w:p w14:paraId="51C5E420" w14:textId="77777777" w:rsidR="00BD2BE7" w:rsidRPr="003720CC" w:rsidRDefault="00BD2BE7" w:rsidP="00BD2BE7">
      <w:pPr>
        <w:pStyle w:val="ListParagraph"/>
        <w:rPr>
          <w:b/>
        </w:rPr>
      </w:pPr>
    </w:p>
    <w:p w14:paraId="2FCD836E" w14:textId="77777777" w:rsidR="00BD2BE7" w:rsidRDefault="00BD2BE7" w:rsidP="00BD2BE7">
      <w:pPr>
        <w:pStyle w:val="ListParagraph"/>
        <w:numPr>
          <w:ilvl w:val="0"/>
          <w:numId w:val="3"/>
        </w:numPr>
        <w:rPr>
          <w:b/>
        </w:rPr>
      </w:pPr>
      <w:r w:rsidRPr="003720CC">
        <w:rPr>
          <w:b/>
        </w:rPr>
        <w:t xml:space="preserve">Note to </w:t>
      </w:r>
      <w:r>
        <w:rPr>
          <w:b/>
        </w:rPr>
        <w:t>Legislative Service Commission</w:t>
      </w:r>
      <w:r w:rsidRPr="003720CC">
        <w:rPr>
          <w:b/>
        </w:rPr>
        <w:t>: Increase total Medicaid appropriation authority (state and federal) in ALI 6536</w:t>
      </w:r>
      <w:r>
        <w:rPr>
          <w:b/>
        </w:rPr>
        <w:t>54 commensurate with FMAP index</w:t>
      </w:r>
    </w:p>
    <w:p w14:paraId="7A37EAB3" w14:textId="77777777" w:rsidR="00BD2BE7" w:rsidRDefault="00BD2BE7" w:rsidP="00C309BF">
      <w:pPr>
        <w:pStyle w:val="ListParagraph"/>
      </w:pPr>
    </w:p>
    <w:p w14:paraId="4E33C9C4" w14:textId="77777777" w:rsidR="00BD2BE7" w:rsidRDefault="00BD2BE7" w:rsidP="00C309BF">
      <w:pPr>
        <w:pStyle w:val="ListParagraph"/>
      </w:pPr>
    </w:p>
    <w:p w14:paraId="33D03E0B" w14:textId="77777777" w:rsidR="00BD2BE7" w:rsidRDefault="00BD2BE7" w:rsidP="00C309BF">
      <w:pPr>
        <w:pStyle w:val="ListParagraph"/>
      </w:pPr>
    </w:p>
    <w:p w14:paraId="56E8FDAB" w14:textId="77777777" w:rsidR="00BD2BE7" w:rsidRDefault="00BD2BE7" w:rsidP="00C309BF">
      <w:pPr>
        <w:pStyle w:val="ListParagraph"/>
      </w:pPr>
    </w:p>
    <w:p w14:paraId="43586283" w14:textId="77777777" w:rsidR="00BD2BE7" w:rsidRDefault="00BD2BE7" w:rsidP="00C309BF">
      <w:pPr>
        <w:pStyle w:val="ListParagraph"/>
      </w:pPr>
    </w:p>
    <w:p w14:paraId="30C809D1" w14:textId="77777777" w:rsidR="00BD2BE7" w:rsidRDefault="00BD2BE7" w:rsidP="00BB1BF5">
      <w:pPr>
        <w:pStyle w:val="ListParagraph"/>
        <w:ind w:left="0"/>
      </w:pPr>
    </w:p>
    <w:p w14:paraId="052D62AF" w14:textId="77777777" w:rsidR="00BD2BE7" w:rsidRDefault="00BD2BE7" w:rsidP="00C309BF">
      <w:pPr>
        <w:pStyle w:val="ListParagraph"/>
      </w:pPr>
    </w:p>
    <w:p w14:paraId="392F7930" w14:textId="77777777" w:rsidR="00BD2BE7" w:rsidRDefault="00BD2BE7" w:rsidP="00C309BF">
      <w:pPr>
        <w:pStyle w:val="ListParagraph"/>
      </w:pPr>
    </w:p>
    <w:p w14:paraId="6D490751" w14:textId="77777777" w:rsidR="00BD2BE7" w:rsidRDefault="00BD2BE7" w:rsidP="00C309BF">
      <w:pPr>
        <w:pStyle w:val="ListParagraph"/>
      </w:pPr>
    </w:p>
    <w:p w14:paraId="25AAA94F" w14:textId="77777777" w:rsidR="00BD2BE7" w:rsidRDefault="00BD2BE7" w:rsidP="00C309BF">
      <w:pPr>
        <w:pStyle w:val="ListParagraph"/>
      </w:pPr>
    </w:p>
    <w:p w14:paraId="03361DED" w14:textId="3D28E3BA" w:rsidR="00BB1BF5" w:rsidRDefault="00BB1BF5" w:rsidP="00D33A0F"/>
    <w:p w14:paraId="4E26CBBD" w14:textId="77777777" w:rsidR="00BD2BE7" w:rsidRPr="00BD2BE7" w:rsidRDefault="00BD2BE7" w:rsidP="00C309BF">
      <w:pPr>
        <w:pStyle w:val="ListParagraph"/>
        <w:rPr>
          <w:b/>
        </w:rPr>
      </w:pPr>
      <w:r w:rsidRPr="00BD2BE7">
        <w:rPr>
          <w:b/>
        </w:rPr>
        <w:lastRenderedPageBreak/>
        <w:t>What would OPRA’s amendment do?</w:t>
      </w:r>
    </w:p>
    <w:p w14:paraId="4162E5CF" w14:textId="77777777" w:rsidR="00BD2BE7" w:rsidRDefault="00BD2BE7" w:rsidP="00C309BF">
      <w:pPr>
        <w:pStyle w:val="ListParagraph"/>
      </w:pPr>
      <w:bookmarkStart w:id="0" w:name="_GoBack"/>
      <w:bookmarkEnd w:id="0"/>
    </w:p>
    <w:p w14:paraId="0A170002" w14:textId="77777777" w:rsidR="00BD2BE7" w:rsidRPr="003720CC" w:rsidRDefault="00BD2BE7" w:rsidP="00BD2BE7">
      <w:pPr>
        <w:pStyle w:val="ListParagraph"/>
        <w:numPr>
          <w:ilvl w:val="0"/>
          <w:numId w:val="4"/>
        </w:numPr>
        <w:rPr>
          <w:b/>
        </w:rPr>
      </w:pPr>
      <w:r w:rsidRPr="003720CC">
        <w:rPr>
          <w:b/>
        </w:rPr>
        <w:t>Increase appropriation line item GRF</w:t>
      </w:r>
      <w:r>
        <w:rPr>
          <w:b/>
        </w:rPr>
        <w:t xml:space="preserve"> (General Revenue Fund</w:t>
      </w:r>
      <w:r w:rsidR="00BB1BF5">
        <w:rPr>
          <w:b/>
        </w:rPr>
        <w:t>*</w:t>
      </w:r>
      <w:r>
        <w:rPr>
          <w:b/>
        </w:rPr>
        <w:t>)</w:t>
      </w:r>
      <w:r w:rsidRPr="003720CC">
        <w:rPr>
          <w:b/>
        </w:rPr>
        <w:t xml:space="preserve"> 653407 by $13.75 million (state matching funds) in each year over As Introduced Version of HB 166.</w:t>
      </w:r>
    </w:p>
    <w:p w14:paraId="2F67FCFB" w14:textId="7C2AA95F" w:rsidR="00BD2BE7" w:rsidRDefault="00BD2BE7" w:rsidP="0006602C">
      <w:pPr>
        <w:pStyle w:val="ListParagraph"/>
        <w:numPr>
          <w:ilvl w:val="1"/>
          <w:numId w:val="4"/>
        </w:numPr>
      </w:pPr>
      <w:r>
        <w:t xml:space="preserve">In FY 2020, this would increase </w:t>
      </w:r>
      <w:r w:rsidR="0006602C">
        <w:t>GRF (General Revenue Fund</w:t>
      </w:r>
      <w:r w:rsidR="0006602C" w:rsidRPr="0006602C">
        <w:t xml:space="preserve">) 653407 </w:t>
      </w:r>
      <w:r>
        <w:t>from DODD’s proposed $654,394,484 to 654,394,497.75.</w:t>
      </w:r>
    </w:p>
    <w:p w14:paraId="43610220" w14:textId="20CFDE2A" w:rsidR="00C96DAB" w:rsidRDefault="00BD2BE7" w:rsidP="0006602C">
      <w:pPr>
        <w:pStyle w:val="ListParagraph"/>
        <w:numPr>
          <w:ilvl w:val="1"/>
          <w:numId w:val="4"/>
        </w:numPr>
      </w:pPr>
      <w:r>
        <w:t xml:space="preserve">In FY 2021, this would increase </w:t>
      </w:r>
      <w:r w:rsidR="0006602C" w:rsidRPr="0006602C">
        <w:t xml:space="preserve">GRF (General Revenue Fund) </w:t>
      </w:r>
      <w:r>
        <w:t>from DODD’s proposed $655,368,800 to $655,368,818.75.</w:t>
      </w:r>
    </w:p>
    <w:p w14:paraId="7B9B5066" w14:textId="77777777" w:rsidR="00BD2BE7" w:rsidRDefault="00BD2BE7" w:rsidP="00BD2BE7">
      <w:pPr>
        <w:pStyle w:val="ListParagraph"/>
      </w:pPr>
      <w:r>
        <w:t xml:space="preserve">  </w:t>
      </w:r>
    </w:p>
    <w:p w14:paraId="106863E6" w14:textId="77777777" w:rsidR="00BD2BE7" w:rsidRDefault="00BD2BE7" w:rsidP="000C6180">
      <w:pPr>
        <w:pStyle w:val="ListParagraph"/>
        <w:numPr>
          <w:ilvl w:val="0"/>
          <w:numId w:val="4"/>
        </w:numPr>
        <w:ind w:left="2160"/>
        <w:rPr>
          <w:b/>
        </w:rPr>
      </w:pPr>
      <w:r w:rsidRPr="003720CC">
        <w:rPr>
          <w:b/>
        </w:rPr>
        <w:t xml:space="preserve">Of the ALI </w:t>
      </w:r>
      <w:r w:rsidR="005359E2">
        <w:rPr>
          <w:b/>
        </w:rPr>
        <w:t>(Appropriation Line Item</w:t>
      </w:r>
      <w:r w:rsidR="00BB1BF5">
        <w:rPr>
          <w:b/>
        </w:rPr>
        <w:t>*</w:t>
      </w:r>
      <w:r w:rsidR="005359E2">
        <w:rPr>
          <w:b/>
        </w:rPr>
        <w:t xml:space="preserve">) </w:t>
      </w:r>
      <w:r w:rsidRPr="003720CC">
        <w:rPr>
          <w:b/>
        </w:rPr>
        <w:t xml:space="preserve">653407 increase in 1 above, $11 million (state matching funds) in each fiscal year shall be utilized to increase the rate for Medicaid homemaker personal care services so that direct care wages reach a statewide average of $13 per hour. </w:t>
      </w:r>
    </w:p>
    <w:p w14:paraId="0FCD385D" w14:textId="77777777" w:rsidR="00BD2BE7" w:rsidRPr="001F3A3A" w:rsidRDefault="00BD2BE7" w:rsidP="000C6180">
      <w:pPr>
        <w:pStyle w:val="ListParagraph"/>
        <w:numPr>
          <w:ilvl w:val="1"/>
          <w:numId w:val="4"/>
        </w:numPr>
        <w:ind w:left="2520"/>
        <w:rPr>
          <w:b/>
        </w:rPr>
      </w:pPr>
      <w:r>
        <w:t>In FY 2020, $11 million of the $13.75 million will be directed to the H/PC rate to support an average wage of $13 per hour for DSPs providing H/PC.</w:t>
      </w:r>
    </w:p>
    <w:p w14:paraId="4EF7F80A" w14:textId="77777777" w:rsidR="00BD2BE7" w:rsidRPr="00B02E16" w:rsidRDefault="00BD2BE7" w:rsidP="000C6180">
      <w:pPr>
        <w:pStyle w:val="ListParagraph"/>
        <w:numPr>
          <w:ilvl w:val="1"/>
          <w:numId w:val="4"/>
        </w:numPr>
        <w:ind w:left="2520"/>
        <w:rPr>
          <w:b/>
        </w:rPr>
      </w:pPr>
      <w:r>
        <w:t>In FY 2021, $11 million of the $13.75 million will be directed to the H/PC rate to support an average wage of $13 per hour for DSPs providing H/PC.</w:t>
      </w:r>
    </w:p>
    <w:p w14:paraId="19F37093" w14:textId="69B2D028" w:rsidR="00BD2BE7" w:rsidRPr="001F3A3A" w:rsidRDefault="000C3EE5" w:rsidP="000C6180">
      <w:pPr>
        <w:pStyle w:val="ListParagraph"/>
        <w:numPr>
          <w:ilvl w:val="1"/>
          <w:numId w:val="4"/>
        </w:numPr>
        <w:ind w:left="2520"/>
        <w:rPr>
          <w:b/>
        </w:rPr>
      </w:pPr>
      <w:r>
        <w:t>This</w:t>
      </w:r>
      <w:r w:rsidR="00BD2BE7">
        <w:t xml:space="preserve"> increase is </w:t>
      </w:r>
      <w:r w:rsidR="005B11C5">
        <w:t>an increase in</w:t>
      </w:r>
      <w:r w:rsidR="00BD2BE7">
        <w:t xml:space="preserve"> state funds. It does not represent the total amount of funds that will be pulled down into Ohio’s system through federal match funds</w:t>
      </w:r>
      <w:r w:rsidR="00750641">
        <w:t xml:space="preserve"> and may not reflect the rates paid by county boards who offer waivers with only levy funds</w:t>
      </w:r>
      <w:r w:rsidR="00BD2BE7">
        <w:t xml:space="preserve">. </w:t>
      </w:r>
    </w:p>
    <w:p w14:paraId="2B32822F" w14:textId="77777777" w:rsidR="00BD2BE7" w:rsidRPr="003720CC" w:rsidRDefault="00BD2BE7" w:rsidP="000C6180">
      <w:pPr>
        <w:pStyle w:val="ListParagraph"/>
        <w:ind w:left="1440"/>
        <w:rPr>
          <w:b/>
        </w:rPr>
      </w:pPr>
      <w:r w:rsidRPr="003720CC">
        <w:rPr>
          <w:b/>
        </w:rPr>
        <w:t xml:space="preserve"> </w:t>
      </w:r>
    </w:p>
    <w:p w14:paraId="4BB90330" w14:textId="77777777" w:rsidR="00BD2BE7" w:rsidRDefault="00BD2BE7" w:rsidP="000C6180">
      <w:pPr>
        <w:pStyle w:val="ListParagraph"/>
        <w:numPr>
          <w:ilvl w:val="0"/>
          <w:numId w:val="4"/>
        </w:numPr>
        <w:ind w:left="2160"/>
        <w:rPr>
          <w:b/>
        </w:rPr>
      </w:pPr>
      <w:r w:rsidRPr="003720CC">
        <w:rPr>
          <w:b/>
        </w:rPr>
        <w:t>Of ALI 653407</w:t>
      </w:r>
      <w:r w:rsidR="005359E2">
        <w:rPr>
          <w:b/>
        </w:rPr>
        <w:t xml:space="preserve"> (Appropriation Line Item</w:t>
      </w:r>
      <w:r w:rsidR="00BB1BF5">
        <w:rPr>
          <w:b/>
        </w:rPr>
        <w:t>*</w:t>
      </w:r>
      <w:r w:rsidR="005359E2">
        <w:rPr>
          <w:b/>
        </w:rPr>
        <w:t>)</w:t>
      </w:r>
      <w:r w:rsidRPr="003720CC">
        <w:rPr>
          <w:b/>
        </w:rPr>
        <w:t xml:space="preserve"> increase in 1 above, $2.75 million (state matching funds) in each year shall be utilized to increase Medicaid payment rates for day programs serving individuals with intellectual and developmental disabilities in order to comply with federal community integration mandates. </w:t>
      </w:r>
    </w:p>
    <w:p w14:paraId="13BC3889" w14:textId="77777777" w:rsidR="00BD2BE7" w:rsidRPr="001F3A3A" w:rsidRDefault="00BD2BE7" w:rsidP="000C6180">
      <w:pPr>
        <w:pStyle w:val="ListParagraph"/>
        <w:numPr>
          <w:ilvl w:val="1"/>
          <w:numId w:val="4"/>
        </w:numPr>
        <w:ind w:left="2520"/>
      </w:pPr>
      <w:r w:rsidRPr="001F3A3A">
        <w:t xml:space="preserve">In FY 2020, $2.75 million of the $13.75 million will be directed to the various day service rates to be used to support community integration during day programming. </w:t>
      </w:r>
    </w:p>
    <w:p w14:paraId="36D1890E" w14:textId="77777777" w:rsidR="00BD2BE7" w:rsidRDefault="00BD2BE7" w:rsidP="000C6180">
      <w:pPr>
        <w:pStyle w:val="ListParagraph"/>
        <w:numPr>
          <w:ilvl w:val="1"/>
          <w:numId w:val="4"/>
        </w:numPr>
        <w:ind w:left="2520"/>
      </w:pPr>
      <w:r w:rsidRPr="001F3A3A">
        <w:t xml:space="preserve">In FY 2021, $2.75 million of the $13.75 million will be directed to the various day service rates to be used to support community integration during day programming. </w:t>
      </w:r>
    </w:p>
    <w:p w14:paraId="1F83BB26" w14:textId="72601A86" w:rsidR="00BD2BE7" w:rsidRPr="00BD2BE7" w:rsidRDefault="000C3EE5" w:rsidP="000C6180">
      <w:pPr>
        <w:pStyle w:val="ListParagraph"/>
        <w:numPr>
          <w:ilvl w:val="1"/>
          <w:numId w:val="4"/>
        </w:numPr>
        <w:ind w:left="2520"/>
        <w:rPr>
          <w:b/>
        </w:rPr>
      </w:pPr>
      <w:r>
        <w:t>This</w:t>
      </w:r>
      <w:r w:rsidR="00BD2BE7">
        <w:t xml:space="preserve"> increase </w:t>
      </w:r>
      <w:r w:rsidR="005B11C5">
        <w:t xml:space="preserve">is an increase in </w:t>
      </w:r>
      <w:r w:rsidR="00BD2BE7">
        <w:t>state funds. It does not represent the total amount of funds that will be pulled down into Ohio’s system through federal match funds</w:t>
      </w:r>
      <w:r w:rsidR="00750641">
        <w:t xml:space="preserve"> and may not reflect the rates paid by county boards who offer waivers with only levy funds</w:t>
      </w:r>
      <w:r w:rsidR="00BD2BE7">
        <w:t xml:space="preserve">. </w:t>
      </w:r>
    </w:p>
    <w:p w14:paraId="1BAF6B36" w14:textId="77777777" w:rsidR="00BD2BE7" w:rsidRPr="003720CC" w:rsidRDefault="00BD2BE7" w:rsidP="00BD2BE7">
      <w:pPr>
        <w:pStyle w:val="ListParagraph"/>
        <w:rPr>
          <w:b/>
        </w:rPr>
      </w:pPr>
    </w:p>
    <w:p w14:paraId="33B0B841" w14:textId="77777777" w:rsidR="00BD2BE7" w:rsidRDefault="00BD2BE7" w:rsidP="00BB1BF5">
      <w:pPr>
        <w:pStyle w:val="ListParagraph"/>
        <w:numPr>
          <w:ilvl w:val="0"/>
          <w:numId w:val="4"/>
        </w:numPr>
        <w:rPr>
          <w:b/>
        </w:rPr>
      </w:pPr>
      <w:r w:rsidRPr="003720CC">
        <w:rPr>
          <w:b/>
        </w:rPr>
        <w:t xml:space="preserve">Note to </w:t>
      </w:r>
      <w:r>
        <w:rPr>
          <w:b/>
        </w:rPr>
        <w:t>Legislative Service Commission</w:t>
      </w:r>
      <w:r w:rsidRPr="003720CC">
        <w:rPr>
          <w:b/>
        </w:rPr>
        <w:t xml:space="preserve">: Increase total Medicaid appropriation authority (state and federal) in ALI </w:t>
      </w:r>
      <w:r w:rsidR="00BB1BF5" w:rsidRPr="00BB1BF5">
        <w:rPr>
          <w:b/>
        </w:rPr>
        <w:t>(Appropriation Line Item</w:t>
      </w:r>
      <w:r w:rsidR="00BB1BF5">
        <w:rPr>
          <w:b/>
        </w:rPr>
        <w:t>*</w:t>
      </w:r>
      <w:r w:rsidR="00BB1BF5" w:rsidRPr="00BB1BF5">
        <w:rPr>
          <w:b/>
        </w:rPr>
        <w:t xml:space="preserve">) </w:t>
      </w:r>
      <w:r w:rsidRPr="003720CC">
        <w:rPr>
          <w:b/>
        </w:rPr>
        <w:t>6536</w:t>
      </w:r>
      <w:r>
        <w:rPr>
          <w:b/>
        </w:rPr>
        <w:t>54 commensurate with FMAP</w:t>
      </w:r>
      <w:r w:rsidR="001F5402">
        <w:rPr>
          <w:b/>
        </w:rPr>
        <w:t>*</w:t>
      </w:r>
      <w:r>
        <w:rPr>
          <w:b/>
        </w:rPr>
        <w:t xml:space="preserve"> index</w:t>
      </w:r>
    </w:p>
    <w:p w14:paraId="1D9973F3" w14:textId="77777777" w:rsidR="00BD2BE7" w:rsidRDefault="00BD2BE7" w:rsidP="00BD2BE7">
      <w:pPr>
        <w:pStyle w:val="ListParagraph"/>
        <w:numPr>
          <w:ilvl w:val="1"/>
          <w:numId w:val="4"/>
        </w:numPr>
        <w:rPr>
          <w:b/>
        </w:rPr>
      </w:pPr>
      <w:r>
        <w:t>If the FMAP changes, the funding appropriated by the legislature will</w:t>
      </w:r>
      <w:r w:rsidR="002C4CBF">
        <w:t xml:space="preserve"> have a commensurate</w:t>
      </w:r>
      <w:r>
        <w:t xml:space="preserve"> </w:t>
      </w:r>
      <w:r w:rsidR="002C4CBF">
        <w:t>change as well.</w:t>
      </w:r>
      <w:r>
        <w:t xml:space="preserve"> </w:t>
      </w:r>
    </w:p>
    <w:p w14:paraId="2301FF0E" w14:textId="77777777" w:rsidR="00C309BF" w:rsidRDefault="00C309BF" w:rsidP="003720CC"/>
    <w:p w14:paraId="1EA28465" w14:textId="77777777" w:rsidR="001F5402" w:rsidRDefault="001F5402" w:rsidP="003720CC"/>
    <w:p w14:paraId="1CA2728B" w14:textId="6E595ADD" w:rsidR="00BB1BF5" w:rsidRDefault="00BB1BF5" w:rsidP="003720CC"/>
    <w:p w14:paraId="1F1101C9" w14:textId="77777777" w:rsidR="00BB1BF5" w:rsidRPr="00BB1BF5" w:rsidRDefault="00BB1BF5" w:rsidP="00BB1BF5">
      <w:pPr>
        <w:pStyle w:val="ListParagraph"/>
        <w:ind w:left="0"/>
        <w:rPr>
          <w:b/>
        </w:rPr>
      </w:pPr>
      <w:r w:rsidRPr="00BB1BF5">
        <w:rPr>
          <w:b/>
        </w:rPr>
        <w:lastRenderedPageBreak/>
        <w:t>*Quick Reference Definitions:</w:t>
      </w:r>
    </w:p>
    <w:p w14:paraId="6A7E33D7" w14:textId="77777777" w:rsidR="00BB1BF5" w:rsidRDefault="00BB1BF5" w:rsidP="00BB1BF5">
      <w:pPr>
        <w:pStyle w:val="ListParagraph"/>
        <w:ind w:left="0"/>
      </w:pPr>
    </w:p>
    <w:p w14:paraId="0697A550" w14:textId="77777777" w:rsidR="00BB1BF5" w:rsidRDefault="00BB1BF5" w:rsidP="00BB1BF5">
      <w:pPr>
        <w:pStyle w:val="ListParagraph"/>
      </w:pPr>
      <w:r w:rsidRPr="00BB1BF5">
        <w:rPr>
          <w:b/>
          <w:bCs/>
        </w:rPr>
        <w:t>Appropriation Line Item, or Line Item (ALI)</w:t>
      </w:r>
      <w:r>
        <w:rPr>
          <w:b/>
          <w:bCs/>
        </w:rPr>
        <w:t>:</w:t>
      </w:r>
      <w:r w:rsidRPr="00BB1BF5">
        <w:t xml:space="preserve"> a six-digit numeric code (in the format </w:t>
      </w:r>
      <w:proofErr w:type="spellStart"/>
      <w:r w:rsidRPr="00BB1BF5">
        <w:t>xxxyyy</w:t>
      </w:r>
      <w:proofErr w:type="spellEnd"/>
      <w:r w:rsidRPr="00BB1BF5">
        <w:t>) used to identify and account for amounts appropriated for the activities of an agency. The first three digits identify the administering agency, division, or activity responsible for the specific purpose. The last three digits indicate the specific purpose.</w:t>
      </w:r>
    </w:p>
    <w:p w14:paraId="02AD9840" w14:textId="77777777" w:rsidR="001F5402" w:rsidRDefault="001F5402" w:rsidP="00BB1BF5">
      <w:pPr>
        <w:pStyle w:val="ListParagraph"/>
      </w:pPr>
    </w:p>
    <w:p w14:paraId="58B68CD7" w14:textId="77777777" w:rsidR="001F5402" w:rsidRDefault="001F5402" w:rsidP="00BB1BF5">
      <w:pPr>
        <w:pStyle w:val="ListParagraph"/>
      </w:pPr>
      <w:r w:rsidRPr="001F5402">
        <w:rPr>
          <w:b/>
        </w:rPr>
        <w:t>Federal Medical Assistance Percentages (FMAP)</w:t>
      </w:r>
      <w:r>
        <w:t>:</w:t>
      </w:r>
      <w:r w:rsidRPr="001F5402">
        <w:t xml:space="preserve"> the percentage rates used to determine the matching funds rate allocated annually to certain medical and social service programs </w:t>
      </w:r>
      <w:r>
        <w:t>by the Centers for Medicare and Medicaid Services (CMS)</w:t>
      </w:r>
      <w:r w:rsidRPr="001F5402">
        <w:t>.</w:t>
      </w:r>
      <w:r>
        <w:t xml:space="preserve"> </w:t>
      </w:r>
    </w:p>
    <w:p w14:paraId="6E45F9C8" w14:textId="77777777" w:rsidR="00BB1BF5" w:rsidRDefault="00BB1BF5" w:rsidP="00BB1BF5">
      <w:pPr>
        <w:pStyle w:val="ListParagraph"/>
        <w:rPr>
          <w:b/>
          <w:bCs/>
        </w:rPr>
      </w:pPr>
    </w:p>
    <w:p w14:paraId="0D8C7129" w14:textId="77777777" w:rsidR="00BB1BF5" w:rsidRPr="00BB1BF5" w:rsidRDefault="00BB1BF5" w:rsidP="00BB1BF5">
      <w:pPr>
        <w:pStyle w:val="ListParagraph"/>
        <w:rPr>
          <w:b/>
          <w:bCs/>
        </w:rPr>
      </w:pPr>
      <w:r w:rsidRPr="00BB1BF5">
        <w:rPr>
          <w:b/>
          <w:bCs/>
        </w:rPr>
        <w:t>General Revenue Fund / Budget Fund Group (GRF)</w:t>
      </w:r>
      <w:r>
        <w:rPr>
          <w:b/>
          <w:bCs/>
        </w:rPr>
        <w:t xml:space="preserve">: </w:t>
      </w:r>
      <w:r w:rsidRPr="00BB1BF5">
        <w:rPr>
          <w:bCs/>
        </w:rPr>
        <w:t>The General Revenue Budget Fund Group consists of the General Revenue Fund that accounts for all financial resources except those required to be accounted for in another fund. Primary sources of revenue include personal income tax, the sales and use tax, commercial activity tax, and the public utilities tax as well as reimbursements from the federal government (which are not specifically directed to another fund) that primarily support human service programs. The law allows for broad discretion in the purposes for which the General Revenue Fund is used. For example, expenditures support education, health and human services, general government, and property tax relief.</w:t>
      </w:r>
    </w:p>
    <w:p w14:paraId="5FDDDCFA" w14:textId="77777777" w:rsidR="00BB1BF5" w:rsidRDefault="00BB1BF5" w:rsidP="003720CC"/>
    <w:p w14:paraId="5D734DAB" w14:textId="77777777" w:rsidR="00C309BF" w:rsidRDefault="00C309BF" w:rsidP="00C309BF">
      <w:pPr>
        <w:pStyle w:val="ListParagraph"/>
        <w:ind w:left="0"/>
      </w:pPr>
    </w:p>
    <w:sectPr w:rsidR="00C309BF" w:rsidSect="00B71F17">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23B98" w14:textId="77777777" w:rsidR="00667BD4" w:rsidRDefault="00667BD4" w:rsidP="00667BD4">
      <w:pPr>
        <w:spacing w:after="0"/>
      </w:pPr>
      <w:r>
        <w:separator/>
      </w:r>
    </w:p>
  </w:endnote>
  <w:endnote w:type="continuationSeparator" w:id="0">
    <w:p w14:paraId="6ABACD76" w14:textId="77777777" w:rsidR="00667BD4" w:rsidRDefault="00667BD4" w:rsidP="00667B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77875" w14:textId="77777777" w:rsidR="00667BD4" w:rsidRDefault="00667BD4" w:rsidP="00667BD4">
      <w:pPr>
        <w:spacing w:after="0"/>
      </w:pPr>
      <w:r>
        <w:separator/>
      </w:r>
    </w:p>
  </w:footnote>
  <w:footnote w:type="continuationSeparator" w:id="0">
    <w:p w14:paraId="64C4BED5" w14:textId="77777777" w:rsidR="00667BD4" w:rsidRDefault="00667BD4" w:rsidP="00667B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A275" w14:textId="77777777" w:rsidR="00667BD4" w:rsidRDefault="00667BD4" w:rsidP="00667BD4">
    <w:pPr>
      <w:pStyle w:val="Header"/>
      <w:jc w:val="right"/>
    </w:pPr>
    <w:r>
      <w:t>4/11/2019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50C55"/>
    <w:multiLevelType w:val="hybridMultilevel"/>
    <w:tmpl w:val="CD2EEC3C"/>
    <w:lvl w:ilvl="0" w:tplc="1182FE0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9912DA"/>
    <w:multiLevelType w:val="hybridMultilevel"/>
    <w:tmpl w:val="9A846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17739"/>
    <w:multiLevelType w:val="hybridMultilevel"/>
    <w:tmpl w:val="CD2EEC3C"/>
    <w:lvl w:ilvl="0" w:tplc="1182FE0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1140DB"/>
    <w:multiLevelType w:val="hybridMultilevel"/>
    <w:tmpl w:val="A9E4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FE"/>
    <w:rsid w:val="00005F35"/>
    <w:rsid w:val="000229C6"/>
    <w:rsid w:val="00026802"/>
    <w:rsid w:val="00062ACB"/>
    <w:rsid w:val="0006602C"/>
    <w:rsid w:val="000736A0"/>
    <w:rsid w:val="00092A3E"/>
    <w:rsid w:val="000A2A55"/>
    <w:rsid w:val="000A4B62"/>
    <w:rsid w:val="000C3EE5"/>
    <w:rsid w:val="000C4B1D"/>
    <w:rsid w:val="000C6180"/>
    <w:rsid w:val="000C6FB0"/>
    <w:rsid w:val="000E15FB"/>
    <w:rsid w:val="000E428F"/>
    <w:rsid w:val="000E7A5F"/>
    <w:rsid w:val="001248F4"/>
    <w:rsid w:val="00127786"/>
    <w:rsid w:val="00134AAD"/>
    <w:rsid w:val="00183BAE"/>
    <w:rsid w:val="001B1FEA"/>
    <w:rsid w:val="001B3939"/>
    <w:rsid w:val="001C07E9"/>
    <w:rsid w:val="001D0D63"/>
    <w:rsid w:val="001D3306"/>
    <w:rsid w:val="001D56FC"/>
    <w:rsid w:val="001F3A3A"/>
    <w:rsid w:val="001F5402"/>
    <w:rsid w:val="002161EC"/>
    <w:rsid w:val="00234236"/>
    <w:rsid w:val="002478F9"/>
    <w:rsid w:val="002C4CBF"/>
    <w:rsid w:val="002D135B"/>
    <w:rsid w:val="00303D72"/>
    <w:rsid w:val="00310CBE"/>
    <w:rsid w:val="0031352D"/>
    <w:rsid w:val="00330B9A"/>
    <w:rsid w:val="00335383"/>
    <w:rsid w:val="00336408"/>
    <w:rsid w:val="00363E68"/>
    <w:rsid w:val="0036528B"/>
    <w:rsid w:val="003720CC"/>
    <w:rsid w:val="003D0674"/>
    <w:rsid w:val="003F3446"/>
    <w:rsid w:val="003F7B18"/>
    <w:rsid w:val="00423CD9"/>
    <w:rsid w:val="00424BB9"/>
    <w:rsid w:val="0043284E"/>
    <w:rsid w:val="00435B5B"/>
    <w:rsid w:val="004402B6"/>
    <w:rsid w:val="00442D3A"/>
    <w:rsid w:val="004464AA"/>
    <w:rsid w:val="00463507"/>
    <w:rsid w:val="004972B3"/>
    <w:rsid w:val="004E7282"/>
    <w:rsid w:val="00500F36"/>
    <w:rsid w:val="005334B9"/>
    <w:rsid w:val="005359E2"/>
    <w:rsid w:val="00566B01"/>
    <w:rsid w:val="005A5AC2"/>
    <w:rsid w:val="005B11C5"/>
    <w:rsid w:val="005E21D2"/>
    <w:rsid w:val="005F150F"/>
    <w:rsid w:val="00607223"/>
    <w:rsid w:val="006266AC"/>
    <w:rsid w:val="00640076"/>
    <w:rsid w:val="00644E0A"/>
    <w:rsid w:val="00667BD4"/>
    <w:rsid w:val="00671218"/>
    <w:rsid w:val="006809F5"/>
    <w:rsid w:val="006A14B0"/>
    <w:rsid w:val="006A5274"/>
    <w:rsid w:val="006A5730"/>
    <w:rsid w:val="006C5F55"/>
    <w:rsid w:val="006C6028"/>
    <w:rsid w:val="006D0AD7"/>
    <w:rsid w:val="006E1457"/>
    <w:rsid w:val="006F52AE"/>
    <w:rsid w:val="006F6A08"/>
    <w:rsid w:val="007011CB"/>
    <w:rsid w:val="00715824"/>
    <w:rsid w:val="00734103"/>
    <w:rsid w:val="00745ABE"/>
    <w:rsid w:val="00750641"/>
    <w:rsid w:val="007708FB"/>
    <w:rsid w:val="00772E59"/>
    <w:rsid w:val="007A4FAC"/>
    <w:rsid w:val="007B0EF9"/>
    <w:rsid w:val="007B6546"/>
    <w:rsid w:val="007D54F0"/>
    <w:rsid w:val="007F0BAB"/>
    <w:rsid w:val="008062D1"/>
    <w:rsid w:val="00824E2D"/>
    <w:rsid w:val="00825412"/>
    <w:rsid w:val="008378FA"/>
    <w:rsid w:val="00840E7E"/>
    <w:rsid w:val="008452CD"/>
    <w:rsid w:val="00847CD1"/>
    <w:rsid w:val="008670E3"/>
    <w:rsid w:val="0088131D"/>
    <w:rsid w:val="00884ED3"/>
    <w:rsid w:val="008C33FD"/>
    <w:rsid w:val="008E72BC"/>
    <w:rsid w:val="00941973"/>
    <w:rsid w:val="00952F57"/>
    <w:rsid w:val="009547BF"/>
    <w:rsid w:val="00960F8E"/>
    <w:rsid w:val="00963442"/>
    <w:rsid w:val="00963C68"/>
    <w:rsid w:val="009830DC"/>
    <w:rsid w:val="00984B4F"/>
    <w:rsid w:val="009B7A51"/>
    <w:rsid w:val="009E7FA3"/>
    <w:rsid w:val="00A03DC3"/>
    <w:rsid w:val="00A72E4C"/>
    <w:rsid w:val="00A742FD"/>
    <w:rsid w:val="00AB5421"/>
    <w:rsid w:val="00AE490A"/>
    <w:rsid w:val="00AF2B5A"/>
    <w:rsid w:val="00B02E16"/>
    <w:rsid w:val="00B0389C"/>
    <w:rsid w:val="00B1198F"/>
    <w:rsid w:val="00B349F8"/>
    <w:rsid w:val="00B45E6F"/>
    <w:rsid w:val="00B71F17"/>
    <w:rsid w:val="00B8152F"/>
    <w:rsid w:val="00B9227D"/>
    <w:rsid w:val="00BB1BF5"/>
    <w:rsid w:val="00BD2BE7"/>
    <w:rsid w:val="00C1332C"/>
    <w:rsid w:val="00C2260A"/>
    <w:rsid w:val="00C309BF"/>
    <w:rsid w:val="00C365B1"/>
    <w:rsid w:val="00C51106"/>
    <w:rsid w:val="00C65B7A"/>
    <w:rsid w:val="00C96DAB"/>
    <w:rsid w:val="00C97C4E"/>
    <w:rsid w:val="00CE0FAB"/>
    <w:rsid w:val="00D043C7"/>
    <w:rsid w:val="00D051FD"/>
    <w:rsid w:val="00D16FF6"/>
    <w:rsid w:val="00D25B45"/>
    <w:rsid w:val="00D33A0F"/>
    <w:rsid w:val="00D43E10"/>
    <w:rsid w:val="00D53996"/>
    <w:rsid w:val="00D702BD"/>
    <w:rsid w:val="00D735E1"/>
    <w:rsid w:val="00D94B6C"/>
    <w:rsid w:val="00DB45D5"/>
    <w:rsid w:val="00DC30EB"/>
    <w:rsid w:val="00DC6AC4"/>
    <w:rsid w:val="00DC6D05"/>
    <w:rsid w:val="00DE0C1E"/>
    <w:rsid w:val="00DE2214"/>
    <w:rsid w:val="00DE26FE"/>
    <w:rsid w:val="00DE7AF2"/>
    <w:rsid w:val="00DF6A17"/>
    <w:rsid w:val="00E10513"/>
    <w:rsid w:val="00E223D6"/>
    <w:rsid w:val="00E2712E"/>
    <w:rsid w:val="00E4192D"/>
    <w:rsid w:val="00E617DA"/>
    <w:rsid w:val="00E717B7"/>
    <w:rsid w:val="00E77753"/>
    <w:rsid w:val="00E954DE"/>
    <w:rsid w:val="00EB723A"/>
    <w:rsid w:val="00ED5C60"/>
    <w:rsid w:val="00F337D4"/>
    <w:rsid w:val="00F5141F"/>
    <w:rsid w:val="00F87B16"/>
    <w:rsid w:val="00F91A10"/>
    <w:rsid w:val="00FA3A78"/>
    <w:rsid w:val="00FA755A"/>
    <w:rsid w:val="00FE37AA"/>
    <w:rsid w:val="00FE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3DFE032A"/>
  <w15:chartTrackingRefBased/>
  <w15:docId w15:val="{7B7F24D4-583E-40D4-B23D-0E585659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DE26FE"/>
    <w:rPr>
      <w:b/>
      <w:noProof/>
    </w:rPr>
  </w:style>
  <w:style w:type="paragraph" w:customStyle="1" w:styleId="PartnerList">
    <w:name w:val="PartnerList"/>
    <w:basedOn w:val="Normal"/>
    <w:link w:val="PartnerListChar"/>
    <w:rsid w:val="00DE26FE"/>
    <w:pPr>
      <w:spacing w:after="0"/>
    </w:pPr>
    <w:rPr>
      <w:rFonts w:ascii="Tahoma" w:hAnsi="Tahoma"/>
      <w:b/>
      <w:color w:val="404040"/>
      <w:sz w:val="8"/>
    </w:rPr>
  </w:style>
  <w:style w:type="character" w:customStyle="1" w:styleId="PartnerListChar">
    <w:name w:val="PartnerList Char"/>
    <w:basedOn w:val="DefaultParagraphFont"/>
    <w:link w:val="PartnerList"/>
    <w:rsid w:val="00DE26FE"/>
    <w:rPr>
      <w:rFonts w:ascii="Tahoma" w:hAnsi="Tahoma"/>
      <w:b/>
      <w:color w:val="404040"/>
      <w:sz w:val="8"/>
    </w:rPr>
  </w:style>
  <w:style w:type="character" w:customStyle="1" w:styleId="HeaderFooterOfficeInfo">
    <w:name w:val="HeaderFooterOfficeInfo"/>
    <w:basedOn w:val="DefaultParagraphFont"/>
    <w:rsid w:val="00DE26FE"/>
    <w:rPr>
      <w:rFonts w:ascii="Century Schoolbook" w:hAnsi="Century Schoolbook"/>
      <w:b/>
      <w:noProof/>
      <w:vanish w:val="0"/>
      <w:color w:val="auto"/>
      <w:sz w:val="16"/>
    </w:rPr>
  </w:style>
  <w:style w:type="paragraph" w:customStyle="1" w:styleId="vsLastFooter">
    <w:name w:val="vsLastFooter"/>
    <w:basedOn w:val="Normal"/>
    <w:next w:val="Normal"/>
    <w:rsid w:val="00DE26FE"/>
    <w:pPr>
      <w:widowControl w:val="0"/>
      <w:spacing w:line="240" w:lineRule="exact"/>
    </w:pPr>
    <w:rPr>
      <w:rFonts w:ascii="Arial" w:hAnsi="Arial" w:cs="Arial"/>
      <w:b/>
      <w:noProof/>
      <w:color w:val="FF0000"/>
      <w:sz w:val="14"/>
    </w:rPr>
  </w:style>
  <w:style w:type="paragraph" w:styleId="ListParagraph">
    <w:name w:val="List Paragraph"/>
    <w:basedOn w:val="Normal"/>
    <w:uiPriority w:val="34"/>
    <w:qFormat/>
    <w:rsid w:val="00E223D6"/>
    <w:pPr>
      <w:ind w:left="720"/>
      <w:contextualSpacing/>
    </w:pPr>
  </w:style>
  <w:style w:type="paragraph" w:styleId="Header">
    <w:name w:val="header"/>
    <w:basedOn w:val="Normal"/>
    <w:link w:val="HeaderChar"/>
    <w:uiPriority w:val="99"/>
    <w:unhideWhenUsed/>
    <w:rsid w:val="00667BD4"/>
    <w:pPr>
      <w:tabs>
        <w:tab w:val="center" w:pos="4680"/>
        <w:tab w:val="right" w:pos="9360"/>
      </w:tabs>
      <w:spacing w:after="0"/>
    </w:pPr>
  </w:style>
  <w:style w:type="character" w:customStyle="1" w:styleId="HeaderChar">
    <w:name w:val="Header Char"/>
    <w:basedOn w:val="DefaultParagraphFont"/>
    <w:link w:val="Header"/>
    <w:uiPriority w:val="99"/>
    <w:rsid w:val="00667BD4"/>
  </w:style>
  <w:style w:type="paragraph" w:styleId="Footer">
    <w:name w:val="footer"/>
    <w:basedOn w:val="Normal"/>
    <w:link w:val="FooterChar"/>
    <w:uiPriority w:val="99"/>
    <w:unhideWhenUsed/>
    <w:rsid w:val="00667BD4"/>
    <w:pPr>
      <w:tabs>
        <w:tab w:val="center" w:pos="4680"/>
        <w:tab w:val="right" w:pos="9360"/>
      </w:tabs>
      <w:spacing w:after="0"/>
    </w:pPr>
  </w:style>
  <w:style w:type="character" w:customStyle="1" w:styleId="FooterChar">
    <w:name w:val="Footer Char"/>
    <w:basedOn w:val="DefaultParagraphFont"/>
    <w:link w:val="Footer"/>
    <w:uiPriority w:val="99"/>
    <w:rsid w:val="00667BD4"/>
  </w:style>
  <w:style w:type="character" w:styleId="CommentReference">
    <w:name w:val="annotation reference"/>
    <w:basedOn w:val="DefaultParagraphFont"/>
    <w:uiPriority w:val="99"/>
    <w:semiHidden/>
    <w:unhideWhenUsed/>
    <w:rsid w:val="00C96DAB"/>
    <w:rPr>
      <w:sz w:val="16"/>
      <w:szCs w:val="16"/>
    </w:rPr>
  </w:style>
  <w:style w:type="paragraph" w:styleId="CommentText">
    <w:name w:val="annotation text"/>
    <w:basedOn w:val="Normal"/>
    <w:link w:val="CommentTextChar"/>
    <w:uiPriority w:val="99"/>
    <w:semiHidden/>
    <w:unhideWhenUsed/>
    <w:rsid w:val="00C96DAB"/>
    <w:rPr>
      <w:sz w:val="20"/>
      <w:szCs w:val="20"/>
    </w:rPr>
  </w:style>
  <w:style w:type="character" w:customStyle="1" w:styleId="CommentTextChar">
    <w:name w:val="Comment Text Char"/>
    <w:basedOn w:val="DefaultParagraphFont"/>
    <w:link w:val="CommentText"/>
    <w:uiPriority w:val="99"/>
    <w:semiHidden/>
    <w:rsid w:val="00C96DAB"/>
    <w:rPr>
      <w:sz w:val="20"/>
      <w:szCs w:val="20"/>
    </w:rPr>
  </w:style>
  <w:style w:type="paragraph" w:styleId="CommentSubject">
    <w:name w:val="annotation subject"/>
    <w:basedOn w:val="CommentText"/>
    <w:next w:val="CommentText"/>
    <w:link w:val="CommentSubjectChar"/>
    <w:uiPriority w:val="99"/>
    <w:semiHidden/>
    <w:unhideWhenUsed/>
    <w:rsid w:val="00C96DAB"/>
    <w:rPr>
      <w:b/>
      <w:bCs/>
    </w:rPr>
  </w:style>
  <w:style w:type="character" w:customStyle="1" w:styleId="CommentSubjectChar">
    <w:name w:val="Comment Subject Char"/>
    <w:basedOn w:val="CommentTextChar"/>
    <w:link w:val="CommentSubject"/>
    <w:uiPriority w:val="99"/>
    <w:semiHidden/>
    <w:rsid w:val="00C96DAB"/>
    <w:rPr>
      <w:b/>
      <w:bCs/>
      <w:sz w:val="20"/>
      <w:szCs w:val="20"/>
    </w:rPr>
  </w:style>
  <w:style w:type="paragraph" w:styleId="BalloonText">
    <w:name w:val="Balloon Text"/>
    <w:basedOn w:val="Normal"/>
    <w:link w:val="BalloonTextChar"/>
    <w:uiPriority w:val="99"/>
    <w:semiHidden/>
    <w:unhideWhenUsed/>
    <w:rsid w:val="00C96D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13624">
      <w:bodyDiv w:val="1"/>
      <w:marLeft w:val="0"/>
      <w:marRight w:val="0"/>
      <w:marTop w:val="0"/>
      <w:marBottom w:val="0"/>
      <w:divBdr>
        <w:top w:val="none" w:sz="0" w:space="0" w:color="auto"/>
        <w:left w:val="none" w:sz="0" w:space="0" w:color="auto"/>
        <w:bottom w:val="none" w:sz="0" w:space="0" w:color="auto"/>
        <w:right w:val="none" w:sz="0" w:space="0" w:color="auto"/>
      </w:divBdr>
    </w:div>
    <w:div w:id="1271430785">
      <w:bodyDiv w:val="1"/>
      <w:marLeft w:val="0"/>
      <w:marRight w:val="0"/>
      <w:marTop w:val="0"/>
      <w:marBottom w:val="0"/>
      <w:divBdr>
        <w:top w:val="none" w:sz="0" w:space="0" w:color="auto"/>
        <w:left w:val="none" w:sz="0" w:space="0" w:color="auto"/>
        <w:bottom w:val="none" w:sz="0" w:space="0" w:color="auto"/>
        <w:right w:val="none" w:sz="0" w:space="0" w:color="auto"/>
      </w:divBdr>
    </w:div>
    <w:div w:id="1427463928">
      <w:bodyDiv w:val="1"/>
      <w:marLeft w:val="0"/>
      <w:marRight w:val="0"/>
      <w:marTop w:val="0"/>
      <w:marBottom w:val="0"/>
      <w:divBdr>
        <w:top w:val="none" w:sz="0" w:space="0" w:color="auto"/>
        <w:left w:val="none" w:sz="0" w:space="0" w:color="auto"/>
        <w:bottom w:val="none" w:sz="0" w:space="0" w:color="auto"/>
        <w:right w:val="none" w:sz="0" w:space="0" w:color="auto"/>
      </w:divBdr>
    </w:div>
    <w:div w:id="1768698854">
      <w:bodyDiv w:val="1"/>
      <w:marLeft w:val="0"/>
      <w:marRight w:val="0"/>
      <w:marTop w:val="0"/>
      <w:marBottom w:val="0"/>
      <w:divBdr>
        <w:top w:val="none" w:sz="0" w:space="0" w:color="auto"/>
        <w:left w:val="none" w:sz="0" w:space="0" w:color="auto"/>
        <w:bottom w:val="none" w:sz="0" w:space="0" w:color="auto"/>
        <w:right w:val="none" w:sz="0" w:space="0" w:color="auto"/>
      </w:divBdr>
    </w:div>
    <w:div w:id="21047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Scrutton, Suzanne J.</dc:creator>
  <cp:keywords/>
  <dc:description/>
  <cp:lastModifiedBy>Christine Touvelle</cp:lastModifiedBy>
  <cp:revision>35</cp:revision>
  <dcterms:created xsi:type="dcterms:W3CDTF">2019-04-11T15:08:00Z</dcterms:created>
  <dcterms:modified xsi:type="dcterms:W3CDTF">2019-04-11T20:30:00Z</dcterms:modified>
</cp:coreProperties>
</file>