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FB97B" w14:textId="77777777" w:rsidR="008F2CCC" w:rsidRDefault="008F2CCC" w:rsidP="008F2CCC">
      <w:pPr>
        <w:jc w:val="center"/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6C7A10D6" wp14:editId="55C7D10F">
            <wp:simplePos x="0" y="0"/>
            <wp:positionH relativeFrom="column">
              <wp:posOffset>0</wp:posOffset>
            </wp:positionH>
            <wp:positionV relativeFrom="paragraph">
              <wp:posOffset>-464820</wp:posOffset>
            </wp:positionV>
            <wp:extent cx="1459230" cy="609600"/>
            <wp:effectExtent l="0" t="0" r="0" b="0"/>
            <wp:wrapSquare wrapText="bothSides"/>
            <wp:docPr id="2" name="Picture 2" descr="Public:Formats, Forms &amp; Graphics:OPRA Graphics:Logos:logo - OPRA NO DO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:Formats, Forms &amp; Graphics:OPRA Graphics:Logos:logo - OPRA NO DOT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CB8EC1" w14:textId="77777777" w:rsidR="008F2CCC" w:rsidRDefault="008F2CCC" w:rsidP="008F2CCC">
      <w:pPr>
        <w:jc w:val="center"/>
      </w:pPr>
    </w:p>
    <w:p w14:paraId="5930719B" w14:textId="42EEE991" w:rsidR="008F2CCC" w:rsidRDefault="008F2CCC" w:rsidP="000310E1">
      <w:pPr>
        <w:rPr>
          <w:rFonts w:ascii="Calibri" w:hAnsi="Calibri"/>
          <w:i/>
          <w:iCs/>
        </w:rPr>
      </w:pPr>
      <w:r w:rsidRPr="008F2CCC">
        <w:rPr>
          <w:rFonts w:ascii="Calibri" w:hAnsi="Calibri"/>
          <w:i/>
          <w:iCs/>
        </w:rPr>
        <w:t>In 201</w:t>
      </w:r>
      <w:r w:rsidR="00A5537D">
        <w:rPr>
          <w:rFonts w:ascii="Calibri" w:hAnsi="Calibri"/>
          <w:i/>
          <w:iCs/>
        </w:rPr>
        <w:t>8</w:t>
      </w:r>
      <w:r w:rsidRPr="008F2CCC">
        <w:rPr>
          <w:rFonts w:ascii="Calibri" w:hAnsi="Calibri"/>
          <w:i/>
          <w:iCs/>
        </w:rPr>
        <w:t>, the workforce shortage still remains one of the paramou</w:t>
      </w:r>
      <w:r>
        <w:rPr>
          <w:rFonts w:ascii="Calibri" w:hAnsi="Calibri"/>
          <w:i/>
          <w:iCs/>
        </w:rPr>
        <w:t xml:space="preserve">nt issues effecting providers. </w:t>
      </w:r>
      <w:r w:rsidRPr="008F2CCC">
        <w:rPr>
          <w:rFonts w:ascii="Calibri" w:hAnsi="Calibri"/>
          <w:i/>
          <w:iCs/>
        </w:rPr>
        <w:t>With the increase in turnover rates and the high cost of healthcare benefits and training, it becomes difficult to attract and</w:t>
      </w:r>
      <w:r w:rsidR="000310E1">
        <w:rPr>
          <w:rFonts w:ascii="Calibri" w:hAnsi="Calibri"/>
          <w:i/>
          <w:iCs/>
        </w:rPr>
        <w:t xml:space="preserve"> maintain a quality workforce.</w:t>
      </w:r>
    </w:p>
    <w:tbl>
      <w:tblPr>
        <w:tblStyle w:val="TableGrid"/>
        <w:tblpPr w:leftFromText="180" w:rightFromText="180" w:vertAnchor="page" w:horzAnchor="margin" w:tblpY="3331"/>
        <w:tblW w:w="0" w:type="auto"/>
        <w:tblLook w:val="04A0" w:firstRow="1" w:lastRow="0" w:firstColumn="1" w:lastColumn="0" w:noHBand="0" w:noVBand="1"/>
      </w:tblPr>
      <w:tblGrid>
        <w:gridCol w:w="2360"/>
        <w:gridCol w:w="885"/>
        <w:gridCol w:w="1608"/>
        <w:gridCol w:w="1627"/>
        <w:gridCol w:w="1908"/>
      </w:tblGrid>
      <w:tr w:rsidR="00C32EB9" w:rsidRPr="00177783" w14:paraId="2F5B1E6D" w14:textId="77777777" w:rsidTr="00C32EB9">
        <w:trPr>
          <w:trHeight w:val="550"/>
        </w:trPr>
        <w:tc>
          <w:tcPr>
            <w:tcW w:w="2360" w:type="dxa"/>
          </w:tcPr>
          <w:p w14:paraId="6C2BFFB1" w14:textId="77777777" w:rsidR="00C32EB9" w:rsidRPr="000310E1" w:rsidRDefault="00C32EB9" w:rsidP="00C32EB9">
            <w:pPr>
              <w:rPr>
                <w:rFonts w:ascii="Calibri" w:hAnsi="Calibri" w:cs="Times New Roman"/>
                <w:b/>
              </w:rPr>
            </w:pPr>
            <w:r w:rsidRPr="000310E1">
              <w:rPr>
                <w:rFonts w:ascii="Calibri" w:hAnsi="Calibri" w:cs="Times New Roman"/>
                <w:b/>
              </w:rPr>
              <w:t>WAGE STATISTICS</w:t>
            </w:r>
          </w:p>
        </w:tc>
        <w:tc>
          <w:tcPr>
            <w:tcW w:w="885" w:type="dxa"/>
          </w:tcPr>
          <w:p w14:paraId="6EFD1139" w14:textId="77777777" w:rsidR="00C32EB9" w:rsidRPr="000310E1" w:rsidRDefault="00C32EB9" w:rsidP="00C32EB9">
            <w:pPr>
              <w:jc w:val="center"/>
              <w:rPr>
                <w:rFonts w:ascii="Calibri" w:hAnsi="Calibri" w:cs="Times New Roman"/>
                <w:b/>
              </w:rPr>
            </w:pPr>
            <w:r w:rsidRPr="000310E1">
              <w:rPr>
                <w:rFonts w:ascii="Calibri" w:hAnsi="Calibri" w:cs="Times New Roman"/>
                <w:b/>
              </w:rPr>
              <w:t>2011</w:t>
            </w:r>
          </w:p>
        </w:tc>
        <w:tc>
          <w:tcPr>
            <w:tcW w:w="1608" w:type="dxa"/>
          </w:tcPr>
          <w:p w14:paraId="7D8AB582" w14:textId="77777777" w:rsidR="00C32EB9" w:rsidRPr="000310E1" w:rsidRDefault="00C32EB9" w:rsidP="00C32EB9">
            <w:pPr>
              <w:jc w:val="center"/>
              <w:rPr>
                <w:rFonts w:ascii="Calibri" w:hAnsi="Calibri" w:cs="Times New Roman"/>
                <w:b/>
              </w:rPr>
            </w:pPr>
            <w:r w:rsidRPr="000310E1">
              <w:rPr>
                <w:rFonts w:ascii="Calibri" w:hAnsi="Calibri" w:cs="Times New Roman"/>
                <w:b/>
              </w:rPr>
              <w:t>2013</w:t>
            </w:r>
          </w:p>
        </w:tc>
        <w:tc>
          <w:tcPr>
            <w:tcW w:w="1627" w:type="dxa"/>
          </w:tcPr>
          <w:p w14:paraId="4D623B87" w14:textId="77777777" w:rsidR="00C32EB9" w:rsidRPr="000310E1" w:rsidRDefault="00C32EB9" w:rsidP="00C32EB9">
            <w:pPr>
              <w:jc w:val="center"/>
              <w:rPr>
                <w:rFonts w:ascii="Calibri" w:hAnsi="Calibri" w:cs="Times New Roman"/>
                <w:b/>
              </w:rPr>
            </w:pPr>
            <w:r w:rsidRPr="000310E1">
              <w:rPr>
                <w:rFonts w:ascii="Calibri" w:hAnsi="Calibri" w:cs="Times New Roman"/>
                <w:b/>
              </w:rPr>
              <w:t>2016</w:t>
            </w:r>
          </w:p>
        </w:tc>
        <w:tc>
          <w:tcPr>
            <w:tcW w:w="1908" w:type="dxa"/>
          </w:tcPr>
          <w:p w14:paraId="4C929B42" w14:textId="77777777" w:rsidR="00C32EB9" w:rsidRPr="000310E1" w:rsidRDefault="00C32EB9" w:rsidP="00C32EB9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2018</w:t>
            </w:r>
          </w:p>
        </w:tc>
      </w:tr>
      <w:tr w:rsidR="00C32EB9" w:rsidRPr="00177783" w14:paraId="76C27CF3" w14:textId="77777777" w:rsidTr="00C32EB9">
        <w:trPr>
          <w:trHeight w:val="285"/>
        </w:trPr>
        <w:tc>
          <w:tcPr>
            <w:tcW w:w="2360" w:type="dxa"/>
          </w:tcPr>
          <w:p w14:paraId="55AB0134" w14:textId="77777777" w:rsidR="00C32EB9" w:rsidRPr="000310E1" w:rsidRDefault="00C32EB9" w:rsidP="00C32EB9">
            <w:pPr>
              <w:rPr>
                <w:rFonts w:ascii="Calibri" w:hAnsi="Calibri" w:cs="Times New Roman"/>
                <w:sz w:val="20"/>
              </w:rPr>
            </w:pPr>
            <w:r w:rsidRPr="000310E1">
              <w:rPr>
                <w:rFonts w:ascii="Calibri" w:hAnsi="Calibri" w:cs="Times New Roman"/>
                <w:sz w:val="20"/>
              </w:rPr>
              <w:t>Federal Poverty Level</w:t>
            </w:r>
            <w:r w:rsidRPr="000310E1">
              <w:rPr>
                <w:rFonts w:ascii="Calibri" w:hAnsi="Calibri" w:cs="Times New Roman"/>
                <w:sz w:val="20"/>
                <w:vertAlign w:val="superscript"/>
              </w:rPr>
              <w:t>1</w:t>
            </w:r>
          </w:p>
        </w:tc>
        <w:tc>
          <w:tcPr>
            <w:tcW w:w="885" w:type="dxa"/>
          </w:tcPr>
          <w:p w14:paraId="1C5A1E48" w14:textId="77777777" w:rsidR="00C32EB9" w:rsidRPr="000310E1" w:rsidRDefault="00C32EB9" w:rsidP="00C32EB9">
            <w:pPr>
              <w:rPr>
                <w:rFonts w:ascii="Calibri" w:hAnsi="Calibri" w:cs="Times New Roman"/>
              </w:rPr>
            </w:pPr>
            <w:r w:rsidRPr="000310E1">
              <w:rPr>
                <w:rFonts w:ascii="Calibri" w:hAnsi="Calibri" w:cs="Times New Roman"/>
              </w:rPr>
              <w:t>$10.75</w:t>
            </w:r>
          </w:p>
        </w:tc>
        <w:tc>
          <w:tcPr>
            <w:tcW w:w="1608" w:type="dxa"/>
          </w:tcPr>
          <w:p w14:paraId="48486355" w14:textId="77777777" w:rsidR="00C32EB9" w:rsidRPr="000310E1" w:rsidRDefault="00C32EB9" w:rsidP="00C32EB9">
            <w:pPr>
              <w:rPr>
                <w:rFonts w:ascii="Calibri" w:hAnsi="Calibri" w:cs="Times New Roman"/>
              </w:rPr>
            </w:pPr>
            <w:r w:rsidRPr="000310E1">
              <w:rPr>
                <w:rFonts w:ascii="Calibri" w:hAnsi="Calibri" w:cs="Times New Roman"/>
              </w:rPr>
              <w:t>$11.31 (5.3%)</w:t>
            </w:r>
            <w:r w:rsidRPr="005B63C3">
              <w:rPr>
                <w:rFonts w:ascii="Calibri" w:hAnsi="Calibri" w:cs="Times New Roman"/>
                <w:vertAlign w:val="superscript"/>
              </w:rPr>
              <w:t>3</w:t>
            </w:r>
          </w:p>
        </w:tc>
        <w:tc>
          <w:tcPr>
            <w:tcW w:w="1627" w:type="dxa"/>
          </w:tcPr>
          <w:p w14:paraId="1C17900B" w14:textId="77777777" w:rsidR="00C32EB9" w:rsidRPr="000310E1" w:rsidRDefault="00C32EB9" w:rsidP="00C32EB9">
            <w:pPr>
              <w:rPr>
                <w:rFonts w:ascii="Calibri" w:hAnsi="Calibri" w:cs="Times New Roman"/>
              </w:rPr>
            </w:pPr>
            <w:r w:rsidRPr="000310E1">
              <w:rPr>
                <w:rFonts w:ascii="Calibri" w:hAnsi="Calibri" w:cs="Times New Roman"/>
              </w:rPr>
              <w:t>$11.68 (3.2%)</w:t>
            </w:r>
            <w:r w:rsidRPr="005B63C3">
              <w:rPr>
                <w:rFonts w:ascii="Calibri" w:hAnsi="Calibri" w:cs="Times New Roman"/>
                <w:vertAlign w:val="superscript"/>
              </w:rPr>
              <w:t>3</w:t>
            </w:r>
          </w:p>
        </w:tc>
        <w:tc>
          <w:tcPr>
            <w:tcW w:w="1908" w:type="dxa"/>
          </w:tcPr>
          <w:p w14:paraId="4EFDB982" w14:textId="77777777" w:rsidR="00C32EB9" w:rsidRPr="000310E1" w:rsidRDefault="00C32EB9" w:rsidP="00C32EB9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$12.06 (3.3%)</w:t>
            </w:r>
            <w:r w:rsidRPr="005B63C3">
              <w:rPr>
                <w:rFonts w:ascii="Calibri" w:hAnsi="Calibri" w:cs="Times New Roman"/>
                <w:vertAlign w:val="superscript"/>
              </w:rPr>
              <w:t>3</w:t>
            </w:r>
          </w:p>
        </w:tc>
      </w:tr>
      <w:tr w:rsidR="00C32EB9" w:rsidRPr="00177783" w14:paraId="7F49B01D" w14:textId="77777777" w:rsidTr="00C32EB9">
        <w:trPr>
          <w:trHeight w:val="456"/>
        </w:trPr>
        <w:tc>
          <w:tcPr>
            <w:tcW w:w="2360" w:type="dxa"/>
          </w:tcPr>
          <w:p w14:paraId="1E40767B" w14:textId="77777777" w:rsidR="00C32EB9" w:rsidRPr="000310E1" w:rsidRDefault="00C32EB9" w:rsidP="00C32EB9">
            <w:pPr>
              <w:rPr>
                <w:rFonts w:ascii="Calibri" w:hAnsi="Calibri" w:cs="Times New Roman"/>
                <w:sz w:val="20"/>
              </w:rPr>
            </w:pPr>
            <w:r w:rsidRPr="000310E1">
              <w:rPr>
                <w:rFonts w:ascii="Calibri" w:hAnsi="Calibri" w:cs="Times New Roman"/>
                <w:sz w:val="20"/>
              </w:rPr>
              <w:t>Direct Support Professionals</w:t>
            </w:r>
            <w:r w:rsidRPr="000310E1">
              <w:rPr>
                <w:rFonts w:ascii="Calibri" w:hAnsi="Calibri" w:cs="Times New Roman"/>
                <w:sz w:val="20"/>
                <w:vertAlign w:val="superscript"/>
              </w:rPr>
              <w:t>2</w:t>
            </w:r>
          </w:p>
        </w:tc>
        <w:tc>
          <w:tcPr>
            <w:tcW w:w="885" w:type="dxa"/>
          </w:tcPr>
          <w:p w14:paraId="2A0E1E6F" w14:textId="77777777" w:rsidR="00C32EB9" w:rsidRPr="000310E1" w:rsidRDefault="00C32EB9" w:rsidP="00C32EB9">
            <w:pPr>
              <w:rPr>
                <w:rFonts w:ascii="Calibri" w:hAnsi="Calibri" w:cs="Times New Roman"/>
              </w:rPr>
            </w:pPr>
            <w:r w:rsidRPr="000310E1">
              <w:rPr>
                <w:rFonts w:ascii="Calibri" w:hAnsi="Calibri" w:cs="Times New Roman"/>
              </w:rPr>
              <w:t>$9.71</w:t>
            </w:r>
          </w:p>
        </w:tc>
        <w:tc>
          <w:tcPr>
            <w:tcW w:w="1608" w:type="dxa"/>
          </w:tcPr>
          <w:p w14:paraId="7AB24251" w14:textId="77777777" w:rsidR="00C32EB9" w:rsidRPr="003B1D13" w:rsidRDefault="00C32EB9" w:rsidP="00C32EB9">
            <w:pPr>
              <w:rPr>
                <w:rFonts w:ascii="Calibri" w:hAnsi="Calibri" w:cs="Times New Roman"/>
              </w:rPr>
            </w:pPr>
            <w:r w:rsidRPr="000310E1">
              <w:rPr>
                <w:rFonts w:ascii="Calibri" w:hAnsi="Calibri" w:cs="Times New Roman"/>
              </w:rPr>
              <w:t>$9.54 (-1.8%)</w:t>
            </w:r>
            <w:r w:rsidRPr="003B1D13">
              <w:rPr>
                <w:rFonts w:ascii="Calibri" w:hAnsi="Calibri" w:cs="Times New Roman"/>
                <w:vertAlign w:val="superscript"/>
              </w:rPr>
              <w:t>3</w:t>
            </w:r>
          </w:p>
        </w:tc>
        <w:tc>
          <w:tcPr>
            <w:tcW w:w="1627" w:type="dxa"/>
          </w:tcPr>
          <w:p w14:paraId="23A70DE5" w14:textId="77777777" w:rsidR="00C32EB9" w:rsidRPr="000310E1" w:rsidRDefault="00C32EB9" w:rsidP="00C32EB9">
            <w:pPr>
              <w:rPr>
                <w:rFonts w:ascii="Calibri" w:hAnsi="Calibri" w:cs="Times New Roman"/>
              </w:rPr>
            </w:pPr>
            <w:r w:rsidRPr="000310E1">
              <w:rPr>
                <w:rFonts w:ascii="Calibri" w:hAnsi="Calibri" w:cs="Times New Roman"/>
              </w:rPr>
              <w:t>$10.24 (7%)</w:t>
            </w:r>
            <w:r w:rsidRPr="003B1D13">
              <w:rPr>
                <w:rFonts w:ascii="Calibri" w:hAnsi="Calibri" w:cs="Times New Roman"/>
                <w:vertAlign w:val="superscript"/>
              </w:rPr>
              <w:t>3</w:t>
            </w:r>
          </w:p>
        </w:tc>
        <w:tc>
          <w:tcPr>
            <w:tcW w:w="1908" w:type="dxa"/>
          </w:tcPr>
          <w:p w14:paraId="5ACCD664" w14:textId="77777777" w:rsidR="00C32EB9" w:rsidRPr="000310E1" w:rsidRDefault="00C32EB9" w:rsidP="00C32EB9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$11.23 (9.6%)</w:t>
            </w:r>
            <w:r w:rsidRPr="003B1D13">
              <w:rPr>
                <w:rFonts w:ascii="Calibri" w:hAnsi="Calibri" w:cs="Times New Roman"/>
                <w:vertAlign w:val="superscript"/>
              </w:rPr>
              <w:t>3</w:t>
            </w:r>
          </w:p>
        </w:tc>
      </w:tr>
    </w:tbl>
    <w:p w14:paraId="62833B03" w14:textId="7037910E" w:rsidR="0066631D" w:rsidRDefault="0066631D" w:rsidP="000310E1">
      <w:pPr>
        <w:rPr>
          <w:rFonts w:ascii="Calibri" w:hAnsi="Calibri"/>
        </w:rPr>
      </w:pPr>
    </w:p>
    <w:p w14:paraId="1EC4BDF9" w14:textId="7CB8C4E8" w:rsidR="00C32EB9" w:rsidRDefault="00C32EB9" w:rsidP="000310E1">
      <w:pPr>
        <w:rPr>
          <w:rFonts w:ascii="Calibri" w:hAnsi="Calibri"/>
        </w:rPr>
      </w:pPr>
    </w:p>
    <w:p w14:paraId="5766F51C" w14:textId="23D624B1" w:rsidR="00C32EB9" w:rsidRDefault="00C32EB9" w:rsidP="000310E1">
      <w:pPr>
        <w:rPr>
          <w:rFonts w:ascii="Calibri" w:hAnsi="Calibri"/>
        </w:rPr>
      </w:pPr>
    </w:p>
    <w:p w14:paraId="694A54E4" w14:textId="63A7B0AD" w:rsidR="00C32EB9" w:rsidRDefault="00C32EB9" w:rsidP="000310E1">
      <w:pPr>
        <w:rPr>
          <w:rFonts w:ascii="Calibri" w:hAnsi="Calibri"/>
        </w:rPr>
      </w:pPr>
    </w:p>
    <w:p w14:paraId="3331D4BC" w14:textId="19BAFBC1" w:rsidR="00C32EB9" w:rsidRDefault="00C32EB9" w:rsidP="000310E1">
      <w:pPr>
        <w:rPr>
          <w:rFonts w:ascii="Calibri" w:hAnsi="Calibri"/>
        </w:rPr>
      </w:pPr>
    </w:p>
    <w:p w14:paraId="3558CB38" w14:textId="2A78EE59" w:rsidR="00C32EB9" w:rsidRDefault="00C32EB9" w:rsidP="000310E1">
      <w:pPr>
        <w:rPr>
          <w:rFonts w:ascii="Calibri" w:hAnsi="Calibri"/>
        </w:rPr>
      </w:pPr>
    </w:p>
    <w:p w14:paraId="7C5C9F59" w14:textId="77777777" w:rsidR="00C32EB9" w:rsidRPr="008F2CCC" w:rsidRDefault="00C32EB9" w:rsidP="000310E1">
      <w:pPr>
        <w:rPr>
          <w:rFonts w:ascii="Calibri" w:hAnsi="Calibri"/>
        </w:rPr>
      </w:pPr>
      <w:bookmarkStart w:id="0" w:name="_GoBack"/>
      <w:bookmarkEnd w:id="0"/>
    </w:p>
    <w:p w14:paraId="355B7015" w14:textId="77777777" w:rsidR="00A5537D" w:rsidRPr="00FC7A47" w:rsidRDefault="00A5537D" w:rsidP="00A5537D">
      <w:pPr>
        <w:rPr>
          <w:sz w:val="16"/>
        </w:rPr>
      </w:pPr>
      <w:r w:rsidRPr="00FC7A47">
        <w:rPr>
          <w:sz w:val="16"/>
          <w:vertAlign w:val="superscript"/>
        </w:rPr>
        <w:t>1</w:t>
      </w:r>
      <w:r w:rsidRPr="00FC7A47">
        <w:rPr>
          <w:sz w:val="16"/>
        </w:rPr>
        <w:t>Refelcts Federal Poverty Level for family of 4</w:t>
      </w:r>
    </w:p>
    <w:p w14:paraId="3FF280EE" w14:textId="0AA7804F" w:rsidR="000310E1" w:rsidRDefault="000310E1" w:rsidP="000310E1">
      <w:pPr>
        <w:rPr>
          <w:sz w:val="16"/>
        </w:rPr>
      </w:pPr>
      <w:r w:rsidRPr="00FC7A47">
        <w:rPr>
          <w:sz w:val="16"/>
          <w:vertAlign w:val="superscript"/>
        </w:rPr>
        <w:t>2</w:t>
      </w:r>
      <w:r w:rsidRPr="00FC7A47">
        <w:rPr>
          <w:sz w:val="16"/>
        </w:rPr>
        <w:t>OPRA member employees with front line, support responsibilities</w:t>
      </w:r>
    </w:p>
    <w:p w14:paraId="56F1FDD0" w14:textId="5F698937" w:rsidR="005B63C3" w:rsidRPr="005B63C3" w:rsidRDefault="005B63C3" w:rsidP="000310E1">
      <w:pPr>
        <w:rPr>
          <w:sz w:val="16"/>
        </w:rPr>
      </w:pPr>
      <w:r w:rsidRPr="005B63C3">
        <w:rPr>
          <w:sz w:val="16"/>
          <w:vertAlign w:val="superscript"/>
        </w:rPr>
        <w:t>3</w:t>
      </w:r>
      <w:r>
        <w:rPr>
          <w:sz w:val="16"/>
          <w:vertAlign w:val="superscript"/>
        </w:rPr>
        <w:t xml:space="preserve">, 4 </w:t>
      </w:r>
      <w:r>
        <w:rPr>
          <w:sz w:val="16"/>
        </w:rPr>
        <w:t>Percent increase from previous year</w:t>
      </w:r>
    </w:p>
    <w:p w14:paraId="5548F5C3" w14:textId="0AFCFC1B" w:rsidR="000310E1" w:rsidRDefault="000310E1" w:rsidP="000D0030"/>
    <w:p w14:paraId="6B0928BB" w14:textId="5A38A3B9" w:rsidR="000D0030" w:rsidRPr="005B63C3" w:rsidRDefault="005B63C3" w:rsidP="000D0030">
      <w:pPr>
        <w:rPr>
          <w:rFonts w:ascii="Calibri" w:hAnsi="Calibri"/>
        </w:rPr>
      </w:pPr>
      <w:r>
        <w:rPr>
          <w:rFonts w:ascii="Calibri" w:hAnsi="Calibri"/>
        </w:rPr>
        <w:t xml:space="preserve">In 2018 64% of reporting agencies </w:t>
      </w:r>
      <w:r w:rsidR="0066631D">
        <w:rPr>
          <w:rFonts w:ascii="Calibri" w:hAnsi="Calibri"/>
        </w:rPr>
        <w:t xml:space="preserve">had DSPs receiving public benefits while 24% of reporting agencies had supervisors receiving public benefits to help with things such </w:t>
      </w:r>
      <w:r w:rsidR="000D0030" w:rsidRPr="005B63C3">
        <w:rPr>
          <w:rFonts w:ascii="Calibri" w:hAnsi="Calibri"/>
        </w:rPr>
        <w:t>as childcare</w:t>
      </w:r>
      <w:r w:rsidR="0066631D">
        <w:rPr>
          <w:rFonts w:ascii="Calibri" w:hAnsi="Calibri"/>
        </w:rPr>
        <w:t>, healthcare</w:t>
      </w:r>
      <w:r w:rsidR="000D0030" w:rsidRPr="005B63C3">
        <w:rPr>
          <w:rFonts w:ascii="Calibri" w:hAnsi="Calibri"/>
        </w:rPr>
        <w:t xml:space="preserve"> and</w:t>
      </w:r>
      <w:r w:rsidR="0066631D">
        <w:rPr>
          <w:rFonts w:ascii="Calibri" w:hAnsi="Calibri"/>
        </w:rPr>
        <w:t xml:space="preserve"> </w:t>
      </w:r>
      <w:r w:rsidR="000D0030" w:rsidRPr="005B63C3">
        <w:rPr>
          <w:rFonts w:ascii="Calibri" w:hAnsi="Calibri"/>
        </w:rPr>
        <w:t>transportation</w:t>
      </w:r>
      <w:r w:rsidR="0066631D">
        <w:rPr>
          <w:rFonts w:ascii="Calibri" w:hAnsi="Calibri"/>
        </w:rPr>
        <w:t xml:space="preserve">. </w:t>
      </w:r>
    </w:p>
    <w:p w14:paraId="596C878A" w14:textId="1DA5BA89" w:rsidR="00561FAC" w:rsidRPr="005B63C3" w:rsidRDefault="00A5537D" w:rsidP="00FC7A47">
      <w:pPr>
        <w:rPr>
          <w:rFonts w:ascii="Calibri" w:hAnsi="Calibri"/>
        </w:rPr>
      </w:pPr>
      <w:r w:rsidRPr="005B63C3">
        <w:rPr>
          <w:rFonts w:ascii="Calibri" w:hAnsi="Calibri"/>
          <w:noProof/>
          <w:sz w:val="18"/>
          <w:vertAlign w:val="superscri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9AC89" wp14:editId="6DAC163F">
                <wp:simplePos x="0" y="0"/>
                <wp:positionH relativeFrom="column">
                  <wp:posOffset>4391025</wp:posOffset>
                </wp:positionH>
                <wp:positionV relativeFrom="paragraph">
                  <wp:posOffset>107315</wp:posOffset>
                </wp:positionV>
                <wp:extent cx="1971675" cy="2405380"/>
                <wp:effectExtent l="0" t="0" r="0" b="0"/>
                <wp:wrapThrough wrapText="bothSides">
                  <wp:wrapPolygon edited="0">
                    <wp:start x="417" y="0"/>
                    <wp:lineTo x="417" y="21383"/>
                    <wp:lineTo x="20870" y="21383"/>
                    <wp:lineTo x="20870" y="0"/>
                    <wp:lineTo x="417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240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56A2A" w14:textId="77777777" w:rsidR="00A5537D" w:rsidRPr="00A5537D" w:rsidRDefault="00A5537D" w:rsidP="00A5537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A5537D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2"/>
                              </w:rPr>
                              <w:t>Since 2011, wages for Direct Support Professionals (DSP) have slowly continued to increase, but have failed to meet the federal poverty level.</w:t>
                            </w:r>
                          </w:p>
                          <w:p w14:paraId="47262F4A" w14:textId="77777777" w:rsidR="00E97919" w:rsidRDefault="00E979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9AC8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5.75pt;margin-top:8.45pt;width:155.25pt;height:18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" filled="f" stroked="f">
                <v:textbox>
                  <w:txbxContent>
                    <w:p w14:paraId="22056A2A" w14:textId="77777777" w:rsidR="00A5537D" w:rsidRPr="00A5537D" w:rsidRDefault="00A5537D" w:rsidP="00A5537D">
                      <w:pPr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32"/>
                        </w:rPr>
                      </w:pPr>
                      <w:r w:rsidRPr="00A5537D">
                        <w:rPr>
                          <w:rFonts w:ascii="Calibri" w:hAnsi="Calibri"/>
                          <w:b/>
                          <w:color w:val="FFFFFF" w:themeColor="background1"/>
                          <w:sz w:val="32"/>
                        </w:rPr>
                        <w:t>Since 2011, wages for Direct Support Professionals (DSP) have slowly continued to increase, but have failed to meet the federal poverty level.</w:t>
                      </w:r>
                    </w:p>
                    <w:p w14:paraId="47262F4A" w14:textId="77777777" w:rsidR="00E97919" w:rsidRDefault="00E97919"/>
                  </w:txbxContent>
                </v:textbox>
                <w10:wrap type="through"/>
              </v:shape>
            </w:pict>
          </mc:Fallback>
        </mc:AlternateContent>
      </w:r>
      <w:r w:rsidRPr="005B63C3">
        <w:rPr>
          <w:rFonts w:ascii="Calibri" w:hAnsi="Calibri"/>
          <w:noProof/>
          <w:sz w:val="18"/>
          <w:vertAlign w:val="superscrip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6BDFE0" wp14:editId="7DDE5B01">
                <wp:simplePos x="0" y="0"/>
                <wp:positionH relativeFrom="column">
                  <wp:posOffset>4363085</wp:posOffset>
                </wp:positionH>
                <wp:positionV relativeFrom="paragraph">
                  <wp:posOffset>69850</wp:posOffset>
                </wp:positionV>
                <wp:extent cx="2057400" cy="2517775"/>
                <wp:effectExtent l="57150" t="19050" r="57150" b="73025"/>
                <wp:wrapThrough wrapText="bothSides">
                  <wp:wrapPolygon edited="0">
                    <wp:start x="-600" y="-163"/>
                    <wp:lineTo x="-400" y="22063"/>
                    <wp:lineTo x="21800" y="22063"/>
                    <wp:lineTo x="22000" y="-163"/>
                    <wp:lineTo x="-600" y="-163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517775"/>
                        </a:xfrm>
                        <a:prstGeom prst="rect">
                          <a:avLst/>
                        </a:prstGeom>
                        <a:solidFill>
                          <a:srgbClr val="346094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CC7A82" w14:textId="77777777" w:rsidR="00E97919" w:rsidRDefault="00E97919" w:rsidP="00F8443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41543B7A" w14:textId="77777777" w:rsidR="00E97919" w:rsidRDefault="00E97919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BDFE0" id="Rectangle 1" o:spid="_x0000_s1027" style="position:absolute;margin-left:343.55pt;margin-top:5.5pt;width:162pt;height:198.2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" fillcolor="#346094" stroked="f">
                <v:shadow on="t" color="black" opacity="22937f" origin=",.5" offset="0,.63889mm"/>
                <v:textbox>
                  <w:txbxContent>
                    <w:p w14:paraId="1FCC7A82" w14:textId="77777777" w:rsidR="00E97919" w:rsidRDefault="00E97919" w:rsidP="00F8443C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41543B7A" w14:textId="77777777" w:rsidR="00E97919" w:rsidRDefault="00E97919"/>
                  </w:txbxContent>
                </v:textbox>
                <w10:wrap type="through"/>
              </v:rect>
            </w:pict>
          </mc:Fallback>
        </mc:AlternateContent>
      </w:r>
    </w:p>
    <w:p w14:paraId="3398B1D8" w14:textId="341ED387" w:rsidR="004E07E0" w:rsidRPr="005B63C3" w:rsidRDefault="00F8443C" w:rsidP="00091AA5">
      <w:pPr>
        <w:rPr>
          <w:rFonts w:ascii="Calibri" w:hAnsi="Calibri"/>
        </w:rPr>
      </w:pPr>
      <w:r w:rsidRPr="005B63C3">
        <w:rPr>
          <w:rFonts w:ascii="Calibri" w:hAnsi="Calibri"/>
        </w:rPr>
        <w:t>The f</w:t>
      </w:r>
      <w:r w:rsidR="004E07E0" w:rsidRPr="005B63C3">
        <w:rPr>
          <w:rFonts w:ascii="Calibri" w:hAnsi="Calibri"/>
        </w:rPr>
        <w:t>uture for increases in DSP staff wages is impacted by several factors:</w:t>
      </w:r>
    </w:p>
    <w:p w14:paraId="03EB76DA" w14:textId="5E96F717" w:rsidR="004E07E0" w:rsidRPr="005B63C3" w:rsidRDefault="004E07E0" w:rsidP="00F8443C">
      <w:pPr>
        <w:pStyle w:val="ListParagraph"/>
        <w:numPr>
          <w:ilvl w:val="0"/>
          <w:numId w:val="1"/>
        </w:numPr>
        <w:ind w:left="450"/>
        <w:rPr>
          <w:rFonts w:ascii="Calibri" w:hAnsi="Calibri"/>
        </w:rPr>
      </w:pPr>
      <w:r w:rsidRPr="005B63C3">
        <w:rPr>
          <w:rFonts w:ascii="Calibri" w:hAnsi="Calibri"/>
        </w:rPr>
        <w:t xml:space="preserve">Wage compression resulting in the mandated annual increases in minimum wages; </w:t>
      </w:r>
    </w:p>
    <w:p w14:paraId="7B3B3254" w14:textId="76D5952D" w:rsidR="004E07E0" w:rsidRPr="005B63C3" w:rsidRDefault="004E07E0" w:rsidP="00F8443C">
      <w:pPr>
        <w:pStyle w:val="ListParagraph"/>
        <w:numPr>
          <w:ilvl w:val="0"/>
          <w:numId w:val="1"/>
        </w:numPr>
        <w:ind w:left="450"/>
        <w:rPr>
          <w:rFonts w:ascii="Calibri" w:hAnsi="Calibri"/>
        </w:rPr>
      </w:pPr>
      <w:r w:rsidRPr="005B63C3">
        <w:rPr>
          <w:rFonts w:ascii="Calibri" w:hAnsi="Calibri"/>
        </w:rPr>
        <w:t>Increased demands on DSPs in non-direct care areas;</w:t>
      </w:r>
    </w:p>
    <w:p w14:paraId="2906B601" w14:textId="4F56DE1C" w:rsidR="004E07E0" w:rsidRPr="005B63C3" w:rsidRDefault="004E07E0" w:rsidP="00F8443C">
      <w:pPr>
        <w:pStyle w:val="ListParagraph"/>
        <w:numPr>
          <w:ilvl w:val="0"/>
          <w:numId w:val="1"/>
        </w:numPr>
        <w:ind w:left="450"/>
        <w:rPr>
          <w:rFonts w:ascii="Calibri" w:hAnsi="Calibri"/>
        </w:rPr>
      </w:pPr>
      <w:r w:rsidRPr="005B63C3">
        <w:rPr>
          <w:rFonts w:ascii="Calibri" w:hAnsi="Calibri"/>
        </w:rPr>
        <w:t>Wo</w:t>
      </w:r>
      <w:r w:rsidR="00A5537D" w:rsidRPr="005B63C3">
        <w:rPr>
          <w:rFonts w:ascii="Calibri" w:hAnsi="Calibri"/>
        </w:rPr>
        <w:t>rkforce shortages caused by 61</w:t>
      </w:r>
      <w:r w:rsidRPr="005B63C3">
        <w:rPr>
          <w:rFonts w:ascii="Calibri" w:hAnsi="Calibri"/>
        </w:rPr>
        <w:t>% turnover rate among the DSP staff</w:t>
      </w:r>
      <w:r w:rsidR="0066631D">
        <w:rPr>
          <w:rFonts w:ascii="Calibri" w:hAnsi="Calibri"/>
        </w:rPr>
        <w:t xml:space="preserve"> (a 18% increase from 2016</w:t>
      </w:r>
      <w:r w:rsidR="000310E1" w:rsidRPr="005B63C3">
        <w:rPr>
          <w:rFonts w:ascii="Calibri" w:hAnsi="Calibri"/>
        </w:rPr>
        <w:t>)</w:t>
      </w:r>
      <w:r w:rsidRPr="005B63C3">
        <w:rPr>
          <w:rFonts w:ascii="Calibri" w:hAnsi="Calibri"/>
        </w:rPr>
        <w:t>;</w:t>
      </w:r>
    </w:p>
    <w:p w14:paraId="01811703" w14:textId="36BED329" w:rsidR="004E07E0" w:rsidRPr="005B63C3" w:rsidRDefault="004E07E0" w:rsidP="00F8443C">
      <w:pPr>
        <w:pStyle w:val="ListParagraph"/>
        <w:numPr>
          <w:ilvl w:val="0"/>
          <w:numId w:val="1"/>
        </w:numPr>
        <w:ind w:left="450"/>
        <w:rPr>
          <w:rFonts w:ascii="Calibri" w:hAnsi="Calibri"/>
        </w:rPr>
      </w:pPr>
      <w:r w:rsidRPr="005B63C3">
        <w:rPr>
          <w:rFonts w:ascii="Calibri" w:hAnsi="Calibri"/>
        </w:rPr>
        <w:t>Rising employee related expenses, such as health care premiums</w:t>
      </w:r>
    </w:p>
    <w:p w14:paraId="55896A9D" w14:textId="491F4123" w:rsidR="00F8443C" w:rsidRPr="005B63C3" w:rsidRDefault="00F8443C" w:rsidP="004E07E0">
      <w:pPr>
        <w:rPr>
          <w:rFonts w:ascii="Calibri" w:hAnsi="Calibri"/>
        </w:rPr>
      </w:pPr>
    </w:p>
    <w:p w14:paraId="13CBEBF2" w14:textId="26F80980" w:rsidR="000310E1" w:rsidRDefault="000310E1" w:rsidP="000310E1">
      <w:pPr>
        <w:rPr>
          <w:rFonts w:ascii="Calibri" w:hAnsi="Calibri"/>
          <w:b/>
          <w:color w:val="9D1600"/>
        </w:rPr>
      </w:pPr>
      <w:r w:rsidRPr="005B63C3">
        <w:rPr>
          <w:rFonts w:ascii="Calibri" w:hAnsi="Calibri"/>
          <w:b/>
          <w:color w:val="9D1600"/>
        </w:rPr>
        <w:t xml:space="preserve">OPRA has put the workforce crisis front and center making it a top priority. </w:t>
      </w:r>
    </w:p>
    <w:p w14:paraId="14913331" w14:textId="77777777" w:rsidR="0066631D" w:rsidRPr="005B63C3" w:rsidRDefault="0066631D" w:rsidP="000310E1">
      <w:pPr>
        <w:rPr>
          <w:rFonts w:ascii="Calibri" w:hAnsi="Calibri"/>
          <w:b/>
          <w:color w:val="9D1600"/>
        </w:rPr>
      </w:pPr>
    </w:p>
    <w:p w14:paraId="11274D67" w14:textId="77777777" w:rsidR="000310E1" w:rsidRPr="005B63C3" w:rsidRDefault="000310E1" w:rsidP="00BA0CD4">
      <w:pPr>
        <w:pStyle w:val="ListParagraph"/>
        <w:numPr>
          <w:ilvl w:val="0"/>
          <w:numId w:val="2"/>
        </w:numPr>
        <w:ind w:left="450"/>
        <w:rPr>
          <w:rFonts w:ascii="Calibri" w:hAnsi="Calibri"/>
        </w:rPr>
      </w:pPr>
      <w:r w:rsidRPr="005B63C3">
        <w:rPr>
          <w:rFonts w:ascii="Calibri" w:hAnsi="Calibri"/>
        </w:rPr>
        <w:t xml:space="preserve">Creation of </w:t>
      </w:r>
      <w:r w:rsidRPr="005B63C3">
        <w:rPr>
          <w:rFonts w:ascii="Calibri" w:hAnsi="Calibri"/>
          <w:b/>
        </w:rPr>
        <w:t xml:space="preserve">The Community Connections Partnership of Ohio C3P(O) </w:t>
      </w:r>
      <w:r w:rsidRPr="005B63C3">
        <w:rPr>
          <w:rFonts w:ascii="Calibri" w:hAnsi="Calibri"/>
        </w:rPr>
        <w:t>program as a training ground for high school students.  The goal is to certify high school students so that they can begin their career as DSPs.</w:t>
      </w:r>
    </w:p>
    <w:p w14:paraId="5D0C28C1" w14:textId="538E14D5" w:rsidR="00BA0CD4" w:rsidRPr="005B63C3" w:rsidRDefault="00BA0CD4" w:rsidP="00BA0CD4">
      <w:pPr>
        <w:pStyle w:val="ListParagraph"/>
        <w:numPr>
          <w:ilvl w:val="0"/>
          <w:numId w:val="2"/>
        </w:numPr>
        <w:ind w:left="450"/>
        <w:rPr>
          <w:rFonts w:ascii="Calibri" w:hAnsi="Calibri"/>
        </w:rPr>
      </w:pPr>
      <w:r w:rsidRPr="005B63C3">
        <w:rPr>
          <w:rFonts w:ascii="Calibri" w:hAnsi="Calibri"/>
        </w:rPr>
        <w:t xml:space="preserve">Work with programs like </w:t>
      </w:r>
      <w:r w:rsidRPr="005B63C3">
        <w:rPr>
          <w:rFonts w:ascii="Calibri" w:hAnsi="Calibri"/>
          <w:b/>
        </w:rPr>
        <w:t xml:space="preserve">Bridges out of Poverty </w:t>
      </w:r>
      <w:r w:rsidRPr="005B63C3">
        <w:rPr>
          <w:rFonts w:ascii="Calibri" w:hAnsi="Calibri"/>
        </w:rPr>
        <w:t xml:space="preserve">to help provide training and understanding to supervisors as well as financial help with low interest loans and Government subsidies are beginning to make headway.  </w:t>
      </w:r>
    </w:p>
    <w:p w14:paraId="2BD11B85" w14:textId="77777777" w:rsidR="000310E1" w:rsidRPr="005B63C3" w:rsidRDefault="000310E1" w:rsidP="00BA0CD4">
      <w:pPr>
        <w:pStyle w:val="ListParagraph"/>
        <w:numPr>
          <w:ilvl w:val="0"/>
          <w:numId w:val="2"/>
        </w:numPr>
        <w:ind w:left="450"/>
        <w:rPr>
          <w:rFonts w:ascii="Calibri" w:hAnsi="Calibri"/>
        </w:rPr>
      </w:pPr>
      <w:r w:rsidRPr="005B63C3">
        <w:rPr>
          <w:rFonts w:ascii="Calibri" w:hAnsi="Calibri"/>
        </w:rPr>
        <w:t xml:space="preserve">Develop </w:t>
      </w:r>
      <w:r w:rsidRPr="005B63C3">
        <w:rPr>
          <w:rFonts w:ascii="Calibri" w:hAnsi="Calibri"/>
          <w:b/>
        </w:rPr>
        <w:t>statewide marketing and communication initiative</w:t>
      </w:r>
      <w:r w:rsidRPr="005B63C3">
        <w:rPr>
          <w:rFonts w:ascii="Calibri" w:hAnsi="Calibri"/>
        </w:rPr>
        <w:t xml:space="preserve"> to help attract workforce.</w:t>
      </w:r>
    </w:p>
    <w:p w14:paraId="10199283" w14:textId="008A72A8" w:rsidR="000310E1" w:rsidRPr="005B63C3" w:rsidRDefault="000310E1" w:rsidP="00BA0CD4">
      <w:pPr>
        <w:pStyle w:val="ListParagraph"/>
        <w:numPr>
          <w:ilvl w:val="0"/>
          <w:numId w:val="2"/>
        </w:numPr>
        <w:ind w:left="450"/>
        <w:rPr>
          <w:rFonts w:ascii="Calibri" w:hAnsi="Calibri"/>
        </w:rPr>
      </w:pPr>
      <w:r w:rsidRPr="005B63C3">
        <w:rPr>
          <w:rFonts w:ascii="Calibri" w:hAnsi="Calibri"/>
        </w:rPr>
        <w:t xml:space="preserve">Help </w:t>
      </w:r>
      <w:r w:rsidRPr="005B63C3">
        <w:rPr>
          <w:rFonts w:ascii="Calibri" w:hAnsi="Calibri"/>
          <w:b/>
        </w:rPr>
        <w:t>pass legislation</w:t>
      </w:r>
      <w:r w:rsidRPr="005B63C3">
        <w:rPr>
          <w:rFonts w:ascii="Calibri" w:hAnsi="Calibri"/>
        </w:rPr>
        <w:t xml:space="preserve"> that will raise the minimum wage </w:t>
      </w:r>
      <w:r w:rsidR="00BC0ECC" w:rsidRPr="005B63C3">
        <w:rPr>
          <w:rFonts w:ascii="Calibri" w:hAnsi="Calibri"/>
        </w:rPr>
        <w:t>for DSPs.</w:t>
      </w:r>
    </w:p>
    <w:p w14:paraId="384F1E0F" w14:textId="0D2D20E5" w:rsidR="000310E1" w:rsidRPr="005B63C3" w:rsidRDefault="000310E1" w:rsidP="00BA0CD4">
      <w:pPr>
        <w:pStyle w:val="ListParagraph"/>
        <w:numPr>
          <w:ilvl w:val="0"/>
          <w:numId w:val="2"/>
        </w:numPr>
        <w:ind w:left="450"/>
        <w:rPr>
          <w:rFonts w:ascii="Calibri" w:hAnsi="Calibri"/>
        </w:rPr>
      </w:pPr>
      <w:r w:rsidRPr="005B63C3">
        <w:rPr>
          <w:rFonts w:ascii="Calibri" w:hAnsi="Calibri"/>
        </w:rPr>
        <w:t>Study and close the gap in wages and benefits between public and private sectors</w:t>
      </w:r>
      <w:r w:rsidR="00BC0ECC" w:rsidRPr="005B63C3">
        <w:rPr>
          <w:rFonts w:ascii="Calibri" w:hAnsi="Calibri"/>
        </w:rPr>
        <w:t>.</w:t>
      </w:r>
    </w:p>
    <w:sectPr w:rsidR="000310E1" w:rsidRPr="005B63C3" w:rsidSect="008F2CC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155A1" w14:textId="77777777" w:rsidR="00E97919" w:rsidRDefault="00E97919" w:rsidP="008F2CCC">
      <w:r>
        <w:separator/>
      </w:r>
    </w:p>
  </w:endnote>
  <w:endnote w:type="continuationSeparator" w:id="0">
    <w:p w14:paraId="43623043" w14:textId="77777777" w:rsidR="00E97919" w:rsidRDefault="00E97919" w:rsidP="008F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D1C24" w14:textId="383313E6" w:rsidR="00E97919" w:rsidRPr="00E52563" w:rsidRDefault="00E52563" w:rsidP="00E52563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Calibri" w:hAnsi="Calibri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61F31E" wp14:editId="5A9D9495">
              <wp:simplePos x="0" y="0"/>
              <wp:positionH relativeFrom="column">
                <wp:posOffset>0</wp:posOffset>
              </wp:positionH>
              <wp:positionV relativeFrom="paragraph">
                <wp:posOffset>-333375</wp:posOffset>
              </wp:positionV>
              <wp:extent cx="5943600" cy="0"/>
              <wp:effectExtent l="50800" t="25400" r="76200" b="1016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>
                        <a:solidFill>
                          <a:srgbClr val="346094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303167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26.25pt" to="468pt,-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" strokecolor="#346094" strokeweight="2pt">
              <v:shadow on="t" color="black" opacity="24903f" origin=",.5" offset="0,.55556mm"/>
            </v:line>
          </w:pict>
        </mc:Fallback>
      </mc:AlternateContent>
    </w:r>
    <w:r w:rsidR="00E97919" w:rsidRPr="00E52563">
      <w:rPr>
        <w:rFonts w:ascii="Calibri" w:hAnsi="Calibri"/>
        <w:sz w:val="16"/>
      </w:rPr>
      <w:t xml:space="preserve">1152 </w:t>
    </w:r>
    <w:proofErr w:type="spellStart"/>
    <w:r w:rsidR="00E97919" w:rsidRPr="00E52563">
      <w:rPr>
        <w:rFonts w:ascii="Calibri" w:hAnsi="Calibri"/>
        <w:sz w:val="16"/>
      </w:rPr>
      <w:t>Goodale</w:t>
    </w:r>
    <w:proofErr w:type="spellEnd"/>
    <w:r w:rsidR="00E97919" w:rsidRPr="00E52563">
      <w:rPr>
        <w:rFonts w:ascii="Calibri" w:hAnsi="Calibri"/>
        <w:sz w:val="16"/>
      </w:rPr>
      <w:t xml:space="preserve"> </w:t>
    </w:r>
    <w:r>
      <w:rPr>
        <w:rFonts w:ascii="Calibri" w:hAnsi="Calibri"/>
        <w:sz w:val="16"/>
      </w:rPr>
      <w:t xml:space="preserve">Boulevard Columbus, Ohio 43212 </w:t>
    </w:r>
    <w:r>
      <w:rPr>
        <w:rFonts w:ascii="Calibri" w:hAnsi="Calibri"/>
        <w:sz w:val="16"/>
      </w:rPr>
      <w:tab/>
    </w:r>
    <w:r w:rsidRPr="00E52563">
      <w:rPr>
        <w:rFonts w:ascii="Calibri" w:hAnsi="Calibri"/>
        <w:sz w:val="16"/>
      </w:rPr>
      <w:t>www.opra.org</w:t>
    </w:r>
    <w:r w:rsidR="00E97919" w:rsidRPr="00E52563">
      <w:rPr>
        <w:rFonts w:ascii="Calibri" w:hAnsi="Calibri"/>
        <w:sz w:val="16"/>
      </w:rPr>
      <w:t xml:space="preserve"> </w:t>
    </w:r>
    <w:r>
      <w:rPr>
        <w:rFonts w:ascii="Calibri" w:hAnsi="Calibri"/>
        <w:sz w:val="16"/>
      </w:rPr>
      <w:tab/>
    </w:r>
    <w:r w:rsidRPr="00E52563">
      <w:rPr>
        <w:rFonts w:ascii="Calibri" w:hAnsi="Calibri"/>
        <w:sz w:val="16"/>
      </w:rPr>
      <w:t xml:space="preserve">(614) 224-6772 </w:t>
    </w:r>
    <w:r>
      <w:rPr>
        <w:rFonts w:ascii="Calibri" w:hAnsi="Calibri"/>
        <w:sz w:val="16"/>
      </w:rPr>
      <w:t>(Office)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FC79F" w14:textId="77777777" w:rsidR="00E97919" w:rsidRDefault="00E97919" w:rsidP="008F2CCC">
      <w:r>
        <w:separator/>
      </w:r>
    </w:p>
  </w:footnote>
  <w:footnote w:type="continuationSeparator" w:id="0">
    <w:p w14:paraId="32BAC9D5" w14:textId="77777777" w:rsidR="00E97919" w:rsidRDefault="00E97919" w:rsidP="008F2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77147" w14:textId="0B28D95B" w:rsidR="00E97919" w:rsidRDefault="00E97919" w:rsidP="008F2CCC">
    <w:pPr>
      <w:pStyle w:val="Header"/>
      <w:tabs>
        <w:tab w:val="clear" w:pos="8640"/>
        <w:tab w:val="right" w:pos="9360"/>
      </w:tabs>
      <w:rPr>
        <w:rFonts w:ascii="Calibri" w:hAnsi="Calibri"/>
        <w:b/>
        <w:color w:val="9D1600"/>
        <w:sz w:val="36"/>
      </w:rPr>
    </w:pPr>
    <w:r w:rsidRPr="008F2CCC">
      <w:rPr>
        <w:b/>
        <w:color w:val="9D1600"/>
      </w:rPr>
      <w:tab/>
    </w:r>
    <w:r w:rsidRPr="008F2CCC">
      <w:rPr>
        <w:b/>
        <w:color w:val="9D1600"/>
      </w:rPr>
      <w:tab/>
    </w:r>
    <w:r w:rsidRPr="008F2CCC">
      <w:rPr>
        <w:rFonts w:ascii="Calibri" w:hAnsi="Calibri"/>
        <w:b/>
        <w:color w:val="9D1600"/>
        <w:sz w:val="36"/>
      </w:rPr>
      <w:t>201</w:t>
    </w:r>
    <w:r w:rsidR="00A5537D">
      <w:rPr>
        <w:rFonts w:ascii="Calibri" w:hAnsi="Calibri"/>
        <w:b/>
        <w:color w:val="9D1600"/>
        <w:sz w:val="36"/>
      </w:rPr>
      <w:t>8</w:t>
    </w:r>
    <w:r w:rsidRPr="008F2CCC">
      <w:rPr>
        <w:rFonts w:ascii="Calibri" w:hAnsi="Calibri"/>
        <w:b/>
        <w:color w:val="9D1600"/>
        <w:sz w:val="36"/>
      </w:rPr>
      <w:t xml:space="preserve"> KEY FINDINGS</w:t>
    </w:r>
  </w:p>
  <w:p w14:paraId="7D516457" w14:textId="77777777" w:rsidR="00E97919" w:rsidRPr="008F2CCC" w:rsidRDefault="00E97919" w:rsidP="008F2CCC">
    <w:pPr>
      <w:pStyle w:val="Header"/>
      <w:tabs>
        <w:tab w:val="clear" w:pos="8640"/>
        <w:tab w:val="right" w:pos="9360"/>
      </w:tabs>
      <w:jc w:val="right"/>
      <w:rPr>
        <w:rFonts w:ascii="Calibri" w:hAnsi="Calibri"/>
        <w:b/>
        <w:color w:val="9D1600"/>
      </w:rPr>
    </w:pPr>
    <w:r w:rsidRPr="008F2CCC">
      <w:rPr>
        <w:rFonts w:ascii="Calibri" w:hAnsi="Calibri"/>
      </w:rPr>
      <w:t>Ohio Compensation, Benefits, and Turnover Survey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F7D4C"/>
    <w:multiLevelType w:val="hybridMultilevel"/>
    <w:tmpl w:val="48C05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2741F"/>
    <w:multiLevelType w:val="hybridMultilevel"/>
    <w:tmpl w:val="519E8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CCC"/>
    <w:rsid w:val="000310E1"/>
    <w:rsid w:val="00091AA5"/>
    <w:rsid w:val="000D0030"/>
    <w:rsid w:val="0019037D"/>
    <w:rsid w:val="0026254E"/>
    <w:rsid w:val="003B1D13"/>
    <w:rsid w:val="004E07E0"/>
    <w:rsid w:val="00521E5E"/>
    <w:rsid w:val="00561FAC"/>
    <w:rsid w:val="00583E74"/>
    <w:rsid w:val="005B63C3"/>
    <w:rsid w:val="0066631D"/>
    <w:rsid w:val="007207C4"/>
    <w:rsid w:val="008F2CCC"/>
    <w:rsid w:val="0096322B"/>
    <w:rsid w:val="00A5537D"/>
    <w:rsid w:val="00BA0CD4"/>
    <w:rsid w:val="00BC0ECC"/>
    <w:rsid w:val="00C32EB9"/>
    <w:rsid w:val="00C72C1E"/>
    <w:rsid w:val="00DE06DB"/>
    <w:rsid w:val="00E52563"/>
    <w:rsid w:val="00E53897"/>
    <w:rsid w:val="00E97919"/>
    <w:rsid w:val="00EA09FF"/>
    <w:rsid w:val="00F8443C"/>
    <w:rsid w:val="00FC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BB3FF2"/>
  <w14:defaultImageDpi w14:val="300"/>
  <w15:docId w15:val="{775B3934-A7B4-4529-8644-CAE6F92B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A47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C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C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2C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CCC"/>
  </w:style>
  <w:style w:type="paragraph" w:styleId="Footer">
    <w:name w:val="footer"/>
    <w:basedOn w:val="Normal"/>
    <w:link w:val="FooterChar"/>
    <w:uiPriority w:val="99"/>
    <w:unhideWhenUsed/>
    <w:rsid w:val="008F2C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CCC"/>
  </w:style>
  <w:style w:type="table" w:styleId="TableGrid">
    <w:name w:val="Table Grid"/>
    <w:basedOn w:val="TableNormal"/>
    <w:uiPriority w:val="39"/>
    <w:rsid w:val="008F2CCC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07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25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7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0C3E41-FA05-4542-9CFD-64F7A73F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opra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Touvelle</dc:creator>
  <cp:keywords/>
  <dc:description/>
  <cp:lastModifiedBy>Christine Touvelle</cp:lastModifiedBy>
  <cp:revision>3</cp:revision>
  <cp:lastPrinted>2019-03-18T18:50:00Z</cp:lastPrinted>
  <dcterms:created xsi:type="dcterms:W3CDTF">2019-03-19T00:27:00Z</dcterms:created>
  <dcterms:modified xsi:type="dcterms:W3CDTF">2019-04-11T20:38:00Z</dcterms:modified>
</cp:coreProperties>
</file>