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FE" w:rsidRDefault="009B30FE" w:rsidP="009B30FE">
      <w:pPr>
        <w:spacing w:after="0" w:line="240" w:lineRule="auto"/>
        <w:jc w:val="right"/>
        <w:rPr>
          <w:rFonts w:ascii="Calibri" w:eastAsia="Calibri" w:hAnsi="Calibri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BF5D17" wp14:editId="3D315F9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638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szCs w:val="21"/>
        </w:rPr>
        <w:t>1152 Goodale Blvd</w:t>
      </w:r>
    </w:p>
    <w:p w:rsidR="009B30FE" w:rsidRDefault="009B30FE" w:rsidP="009B30FE">
      <w:pPr>
        <w:spacing w:after="0" w:line="240" w:lineRule="auto"/>
        <w:jc w:val="right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Columbus, Ohio 43212</w:t>
      </w:r>
    </w:p>
    <w:p w:rsidR="009B30FE" w:rsidRDefault="009B30FE" w:rsidP="009B30FE">
      <w:pPr>
        <w:spacing w:after="0" w:line="240" w:lineRule="auto"/>
        <w:jc w:val="right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(614) 230-2214</w:t>
      </w:r>
      <w:r>
        <w:rPr>
          <w:rFonts w:ascii="Calibri" w:eastAsia="Calibri" w:hAnsi="Calibri" w:cs="Times New Roman"/>
          <w:szCs w:val="21"/>
        </w:rPr>
        <w:br w:type="textWrapping" w:clear="all"/>
      </w:r>
    </w:p>
    <w:p w:rsidR="009B30FE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E369D2" w:rsidRDefault="003C55DB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Director</w:t>
      </w:r>
      <w:r w:rsidR="00E369D2" w:rsidRPr="00E369D2">
        <w:rPr>
          <w:rFonts w:ascii="Calibri" w:eastAsia="Calibri" w:hAnsi="Calibri" w:cs="Times New Roman"/>
          <w:szCs w:val="21"/>
        </w:rPr>
        <w:t xml:space="preserve"> </w:t>
      </w:r>
      <w:r w:rsidR="009B30FE">
        <w:rPr>
          <w:rFonts w:ascii="Calibri" w:eastAsia="Calibri" w:hAnsi="Calibri" w:cs="Times New Roman"/>
          <w:szCs w:val="21"/>
        </w:rPr>
        <w:t>Maureen Corcoran</w:t>
      </w:r>
    </w:p>
    <w:p w:rsidR="009B30FE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Ohio Department of Medicaid </w:t>
      </w:r>
    </w:p>
    <w:p w:rsidR="009B30FE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50 W Town Street #400,</w:t>
      </w:r>
    </w:p>
    <w:p w:rsidR="009B30FE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Columbus, OH 43215</w:t>
      </w:r>
    </w:p>
    <w:p w:rsidR="009B30FE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B30FE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Dear </w:t>
      </w:r>
      <w:r w:rsidRPr="009B30FE">
        <w:rPr>
          <w:rFonts w:ascii="Calibri" w:eastAsia="Calibri" w:hAnsi="Calibri" w:cs="Times New Roman"/>
          <w:szCs w:val="21"/>
        </w:rPr>
        <w:t>Director Corcoran</w:t>
      </w:r>
      <w:r>
        <w:rPr>
          <w:rFonts w:ascii="Calibri" w:eastAsia="Calibri" w:hAnsi="Calibri" w:cs="Times New Roman"/>
          <w:szCs w:val="21"/>
        </w:rPr>
        <w:t>,</w:t>
      </w:r>
    </w:p>
    <w:p w:rsidR="009B30FE" w:rsidRPr="00E369D2" w:rsidRDefault="009B30FE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E369D2">
        <w:rPr>
          <w:rFonts w:ascii="Calibri" w:eastAsia="Calibri" w:hAnsi="Calibri" w:cs="Times New Roman"/>
          <w:szCs w:val="21"/>
        </w:rPr>
        <w:t>O</w:t>
      </w:r>
      <w:r w:rsidR="00931567">
        <w:rPr>
          <w:rFonts w:ascii="Calibri" w:eastAsia="Calibri" w:hAnsi="Calibri" w:cs="Times New Roman"/>
          <w:szCs w:val="21"/>
        </w:rPr>
        <w:t>n behalf of the Ohio Provider Resource Association, the Ohio Association of County Boards and the Arc of Ohio,</w:t>
      </w:r>
      <w:r w:rsidRPr="00E369D2">
        <w:rPr>
          <w:rFonts w:ascii="Calibri" w:eastAsia="Calibri" w:hAnsi="Calibri" w:cs="Times New Roman"/>
          <w:szCs w:val="21"/>
        </w:rPr>
        <w:t xml:space="preserve"> we would like to present recommenda</w:t>
      </w:r>
      <w:r w:rsidR="00931567">
        <w:rPr>
          <w:rFonts w:ascii="Calibri" w:eastAsia="Calibri" w:hAnsi="Calibri" w:cs="Times New Roman"/>
          <w:szCs w:val="21"/>
        </w:rPr>
        <w:t xml:space="preserve">tions for potential changes in </w:t>
      </w:r>
      <w:r w:rsidRPr="00E369D2">
        <w:rPr>
          <w:rFonts w:ascii="Calibri" w:eastAsia="Calibri" w:hAnsi="Calibri" w:cs="Times New Roman"/>
          <w:szCs w:val="21"/>
        </w:rPr>
        <w:t>Phase 2 and timelines of services and supports for both providers of certain Ohio HCB</w:t>
      </w:r>
      <w:r w:rsidR="00931567">
        <w:rPr>
          <w:rFonts w:ascii="Calibri" w:eastAsia="Calibri" w:hAnsi="Calibri" w:cs="Times New Roman"/>
          <w:szCs w:val="21"/>
        </w:rPr>
        <w:t>S</w:t>
      </w:r>
      <w:r w:rsidRPr="00E369D2">
        <w:rPr>
          <w:rFonts w:ascii="Calibri" w:eastAsia="Calibri" w:hAnsi="Calibri" w:cs="Times New Roman"/>
          <w:szCs w:val="21"/>
        </w:rPr>
        <w:t xml:space="preserve"> waivers and individuals </w:t>
      </w:r>
      <w:r w:rsidR="00931567">
        <w:rPr>
          <w:rFonts w:ascii="Calibri" w:eastAsia="Calibri" w:hAnsi="Calibri" w:cs="Times New Roman"/>
          <w:szCs w:val="21"/>
        </w:rPr>
        <w:t>receiving</w:t>
      </w:r>
      <w:r w:rsidRPr="00E369D2">
        <w:rPr>
          <w:rFonts w:ascii="Calibri" w:eastAsia="Calibri" w:hAnsi="Calibri" w:cs="Times New Roman"/>
          <w:szCs w:val="21"/>
        </w:rPr>
        <w:t xml:space="preserve"> those services and supports.</w:t>
      </w: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E369D2">
        <w:rPr>
          <w:rFonts w:ascii="Calibri" w:eastAsia="Calibri" w:hAnsi="Calibri" w:cs="Times New Roman"/>
          <w:szCs w:val="21"/>
        </w:rPr>
        <w:t>There are dif</w:t>
      </w:r>
      <w:r w:rsidR="00AC2527">
        <w:rPr>
          <w:rFonts w:ascii="Calibri" w:eastAsia="Calibri" w:hAnsi="Calibri" w:cs="Times New Roman"/>
          <w:szCs w:val="21"/>
        </w:rPr>
        <w:t xml:space="preserve">ferences between Phase 1 and 2 </w:t>
      </w:r>
      <w:r w:rsidRPr="00E369D2">
        <w:rPr>
          <w:rFonts w:ascii="Calibri" w:eastAsia="Calibri" w:hAnsi="Calibri" w:cs="Times New Roman"/>
          <w:szCs w:val="21"/>
        </w:rPr>
        <w:t>EVV systems that may represent challenges and interfere with providers receiving proper payments.</w:t>
      </w: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E369D2">
        <w:rPr>
          <w:rFonts w:ascii="Calibri" w:eastAsia="Calibri" w:hAnsi="Calibri" w:cs="Times New Roman"/>
          <w:szCs w:val="21"/>
        </w:rPr>
        <w:t>For those providers in Phase 2 that bill through the DODD systems and received plan development services from individual county boards SSAs, there is a need for strong collaboration between ODM, DODD, OACB and private providers.</w:t>
      </w: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E369D2">
        <w:rPr>
          <w:rFonts w:ascii="Calibri" w:eastAsia="Calibri" w:hAnsi="Calibri" w:cs="Times New Roman"/>
          <w:szCs w:val="21"/>
        </w:rPr>
        <w:t>Successful compliance of EVV federal requirements is the goal of providers.</w:t>
      </w: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E369D2">
        <w:rPr>
          <w:rFonts w:ascii="Calibri" w:eastAsia="Calibri" w:hAnsi="Calibri" w:cs="Times New Roman"/>
          <w:szCs w:val="21"/>
        </w:rPr>
        <w:t>With that in mind, we would appreciate consideration for the following concerns:</w:t>
      </w: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581FF0" w:rsidRPr="00C32845" w:rsidRDefault="00E369D2" w:rsidP="00C3284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32845">
        <w:rPr>
          <w:rFonts w:ascii="Calibri" w:eastAsia="Calibri" w:hAnsi="Calibri" w:cs="Times New Roman"/>
          <w:szCs w:val="21"/>
        </w:rPr>
        <w:t xml:space="preserve"> </w:t>
      </w:r>
    </w:p>
    <w:p w:rsidR="00E369D2" w:rsidRP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There has been a change in leadership in DODD involving EVV compliance.</w:t>
      </w:r>
    </w:p>
    <w:p w:rsidR="00E369D2" w:rsidRP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There has been a change in leadership at both ODM and DODD at the Director level.</w:t>
      </w:r>
    </w:p>
    <w:p w:rsidR="00581FF0" w:rsidRP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There has not been joint planning and training at the SSA and private provider level nor including participation by individuals with disabilities</w:t>
      </w:r>
      <w:r w:rsidR="00A1667D" w:rsidRPr="00AC2527">
        <w:rPr>
          <w:rFonts w:ascii="Calibri" w:eastAsia="Calibri" w:hAnsi="Calibri" w:cs="Times New Roman"/>
          <w:szCs w:val="21"/>
        </w:rPr>
        <w:t xml:space="preserve">. </w:t>
      </w:r>
      <w:r w:rsidR="00D4029E" w:rsidRPr="00AC2527">
        <w:rPr>
          <w:rFonts w:ascii="Calibri" w:eastAsia="Calibri" w:hAnsi="Calibri" w:cs="Times New Roman"/>
          <w:szCs w:val="21"/>
        </w:rPr>
        <w:t>Even though official training does not begin till the spring and ODM has implemented</w:t>
      </w:r>
      <w:r w:rsidR="00A1667D" w:rsidRPr="00AC2527">
        <w:rPr>
          <w:rFonts w:ascii="Calibri" w:eastAsia="Calibri" w:hAnsi="Calibri" w:cs="Times New Roman"/>
          <w:szCs w:val="21"/>
        </w:rPr>
        <w:t xml:space="preserve"> efforts to educate</w:t>
      </w:r>
      <w:r w:rsidR="00D4029E" w:rsidRPr="00AC2527">
        <w:rPr>
          <w:rFonts w:ascii="Calibri" w:eastAsia="Calibri" w:hAnsi="Calibri" w:cs="Times New Roman"/>
          <w:szCs w:val="21"/>
        </w:rPr>
        <w:t xml:space="preserve"> Phase 2</w:t>
      </w:r>
      <w:r w:rsidR="00A1667D" w:rsidRPr="00AC2527">
        <w:rPr>
          <w:rFonts w:ascii="Calibri" w:eastAsia="Calibri" w:hAnsi="Calibri" w:cs="Times New Roman"/>
          <w:szCs w:val="21"/>
        </w:rPr>
        <w:t xml:space="preserve"> stakeholders</w:t>
      </w:r>
      <w:r w:rsidR="00D4029E" w:rsidRPr="00AC2527">
        <w:rPr>
          <w:rFonts w:ascii="Calibri" w:eastAsia="Calibri" w:hAnsi="Calibri" w:cs="Times New Roman"/>
          <w:szCs w:val="21"/>
        </w:rPr>
        <w:t xml:space="preserve"> with blast emails</w:t>
      </w:r>
      <w:r w:rsidR="00A1667D" w:rsidRPr="00AC2527">
        <w:rPr>
          <w:rFonts w:ascii="Calibri" w:eastAsia="Calibri" w:hAnsi="Calibri" w:cs="Times New Roman"/>
          <w:szCs w:val="21"/>
        </w:rPr>
        <w:t xml:space="preserve">, there continues to be confusion about the EVV implementation timeline and EVV requirements. </w:t>
      </w:r>
      <w:r w:rsidRPr="00AC2527">
        <w:rPr>
          <w:rFonts w:ascii="Calibri" w:eastAsia="Calibri" w:hAnsi="Calibri" w:cs="Times New Roman"/>
          <w:szCs w:val="21"/>
        </w:rPr>
        <w:t xml:space="preserve"> </w:t>
      </w:r>
    </w:p>
    <w:p w:rsidR="00E369D2" w:rsidRP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Ohio did not fully utilize recent CMS decision/legislation to extend EVV compliance deadline into 2020.</w:t>
      </w:r>
    </w:p>
    <w:p w:rsidR="00581FF0" w:rsidRP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 xml:space="preserve">Some advocacy groups are uncomfortable with Ohio’s use of GPS in tracking EVV compliance </w:t>
      </w:r>
    </w:p>
    <w:p w:rsidR="00D4029E" w:rsidRPr="00AC2527" w:rsidRDefault="00A1667D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With the introduction of the new monthly-rate calculator/daily billing unit, there is significant concerns</w:t>
      </w:r>
      <w:r w:rsidR="00D4029E" w:rsidRPr="00AC2527">
        <w:rPr>
          <w:rFonts w:ascii="Calibri" w:eastAsia="Calibri" w:hAnsi="Calibri" w:cs="Times New Roman"/>
          <w:szCs w:val="21"/>
        </w:rPr>
        <w:t xml:space="preserve"> about system capacity for the change in the unit </w:t>
      </w:r>
      <w:r w:rsidRPr="00AC2527">
        <w:rPr>
          <w:rFonts w:ascii="Calibri" w:eastAsia="Calibri" w:hAnsi="Calibri" w:cs="Times New Roman"/>
          <w:szCs w:val="21"/>
        </w:rPr>
        <w:t>in conjunction with the implementation of EVV. There will be “growing pains” as county board staff and providers lear</w:t>
      </w:r>
      <w:r w:rsidR="00D4029E" w:rsidRPr="00AC2527">
        <w:rPr>
          <w:rFonts w:ascii="Calibri" w:eastAsia="Calibri" w:hAnsi="Calibri" w:cs="Times New Roman"/>
          <w:szCs w:val="21"/>
        </w:rPr>
        <w:t xml:space="preserve">n how to navigate the new unit. One main concern is </w:t>
      </w:r>
      <w:r w:rsidR="00AC2527">
        <w:rPr>
          <w:rFonts w:ascii="Calibri" w:eastAsia="Calibri" w:hAnsi="Calibri" w:cs="Times New Roman"/>
          <w:szCs w:val="21"/>
        </w:rPr>
        <w:t>that t</w:t>
      </w:r>
      <w:r w:rsidR="00AC2527" w:rsidRPr="00AC2527">
        <w:rPr>
          <w:rFonts w:ascii="Calibri" w:eastAsia="Calibri" w:hAnsi="Calibri" w:cs="Times New Roman"/>
          <w:szCs w:val="21"/>
        </w:rPr>
        <w:t>here will be hardship in MRC/DBU when a group location with 2 individuals temporarily changes to a single location due to illness, movement of one individuals to different location even though someone will replace that individual in the future to continue the group location.</w:t>
      </w:r>
      <w:r w:rsidR="00AC2527">
        <w:rPr>
          <w:rFonts w:ascii="Calibri" w:eastAsia="Calibri" w:hAnsi="Calibri" w:cs="Times New Roman"/>
          <w:szCs w:val="21"/>
        </w:rPr>
        <w:t xml:space="preserve">  W</w:t>
      </w:r>
      <w:r w:rsidR="00D4029E" w:rsidRPr="00AC2527">
        <w:rPr>
          <w:rFonts w:ascii="Calibri" w:eastAsia="Calibri" w:hAnsi="Calibri" w:cs="Times New Roman"/>
          <w:szCs w:val="21"/>
        </w:rPr>
        <w:t xml:space="preserve">hen a home is taken off of the daily billing unit for something like a change in setting size, the provider would have to have EVV processes in places and ready </w:t>
      </w:r>
      <w:r w:rsidR="00AC2527">
        <w:rPr>
          <w:rFonts w:ascii="Calibri" w:eastAsia="Calibri" w:hAnsi="Calibri" w:cs="Times New Roman"/>
          <w:szCs w:val="21"/>
        </w:rPr>
        <w:t>when they begin billing in a 15-</w:t>
      </w:r>
      <w:r w:rsidR="00D4029E" w:rsidRPr="00AC2527">
        <w:rPr>
          <w:rFonts w:ascii="Calibri" w:eastAsia="Calibri" w:hAnsi="Calibri" w:cs="Times New Roman"/>
          <w:szCs w:val="21"/>
        </w:rPr>
        <w:t xml:space="preserve">minute unit.  </w:t>
      </w:r>
    </w:p>
    <w:p w:rsidR="00A1667D" w:rsidRPr="00AC2527" w:rsidRDefault="00A1667D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There is confusion in the field about how</w:t>
      </w:r>
      <w:r w:rsidR="00E36EF8" w:rsidRPr="00AC2527">
        <w:rPr>
          <w:rFonts w:ascii="Calibri" w:eastAsia="Calibri" w:hAnsi="Calibri" w:cs="Times New Roman"/>
          <w:szCs w:val="21"/>
        </w:rPr>
        <w:t xml:space="preserve"> EVV exempt and non-exempt services, such as on-site, on-call, will be provided during the same visit and there is confusion about how on-behalf-of services are to be recorded in EVV.</w:t>
      </w:r>
    </w:p>
    <w:p w:rsid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Early results of Phase 1 compliance indicated a high error/non-payment status which could if at same level in Phase2 challenge the viability of certain providers with cash-flow issues.</w:t>
      </w:r>
    </w:p>
    <w:p w:rsidR="00E369D2" w:rsidRPr="00AC2527" w:rsidRDefault="00E369D2" w:rsidP="00AC252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AC2527">
        <w:rPr>
          <w:rFonts w:ascii="Calibri" w:eastAsia="Calibri" w:hAnsi="Calibri" w:cs="Times New Roman"/>
          <w:szCs w:val="21"/>
        </w:rPr>
        <w:t>Further clarification of use of outside vendors specification an</w:t>
      </w:r>
      <w:r w:rsidR="00E36EF8" w:rsidRPr="00AC2527">
        <w:rPr>
          <w:rFonts w:ascii="Calibri" w:eastAsia="Calibri" w:hAnsi="Calibri" w:cs="Times New Roman"/>
          <w:szCs w:val="21"/>
        </w:rPr>
        <w:t xml:space="preserve">d training is needed for Phase 2 and concerns about alternate vendors being ready for the implementation date. </w:t>
      </w:r>
    </w:p>
    <w:p w:rsidR="00931567" w:rsidRDefault="00931567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E369D2" w:rsidRPr="00E369D2" w:rsidRDefault="00E369D2" w:rsidP="00E369D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E369D2">
        <w:rPr>
          <w:rFonts w:ascii="Calibri" w:eastAsia="Calibri" w:hAnsi="Calibri" w:cs="Times New Roman"/>
          <w:szCs w:val="21"/>
        </w:rPr>
        <w:t>Given the above concerns and possibly more as we analyze the results of Phase 1 data, it would be prudent to strongly consider moving the live date of Phase 2 to early 2020.</w:t>
      </w:r>
      <w:r w:rsidR="00931567">
        <w:rPr>
          <w:rFonts w:ascii="Calibri" w:eastAsia="Calibri" w:hAnsi="Calibri" w:cs="Times New Roman"/>
          <w:szCs w:val="21"/>
        </w:rPr>
        <w:t xml:space="preserve"> </w:t>
      </w:r>
      <w:r w:rsidR="00931567" w:rsidRPr="00E369D2">
        <w:rPr>
          <w:rFonts w:ascii="Calibri" w:eastAsia="Calibri" w:hAnsi="Calibri" w:cs="Times New Roman"/>
          <w:szCs w:val="21"/>
        </w:rPr>
        <w:t>The last quarter of 2019 could be a pilot span to better prepare private providers for live implementation after analyzing Phase 2 data results and correcting potential challenges.</w:t>
      </w:r>
      <w:r w:rsidR="00931567">
        <w:rPr>
          <w:rFonts w:ascii="Calibri" w:eastAsia="Calibri" w:hAnsi="Calibri" w:cs="Times New Roman"/>
          <w:szCs w:val="21"/>
        </w:rPr>
        <w:t xml:space="preserve"> </w:t>
      </w:r>
      <w:r w:rsidRPr="00E369D2">
        <w:rPr>
          <w:rFonts w:ascii="Calibri" w:eastAsia="Calibri" w:hAnsi="Calibri" w:cs="Times New Roman"/>
          <w:szCs w:val="21"/>
        </w:rPr>
        <w:t>There is strong indications that CMS would approve such a request.</w:t>
      </w:r>
    </w:p>
    <w:p w:rsidR="00931567" w:rsidRDefault="00931567">
      <w:pPr>
        <w:spacing w:after="0" w:line="240" w:lineRule="auto"/>
      </w:pPr>
    </w:p>
    <w:p w:rsidR="00931567" w:rsidRDefault="00931567">
      <w:pPr>
        <w:spacing w:after="0" w:line="240" w:lineRule="auto"/>
      </w:pPr>
      <w:r>
        <w:t>The Ohio Provider Resource Association</w:t>
      </w:r>
    </w:p>
    <w:p w:rsidR="00931567" w:rsidRDefault="00931567">
      <w:pPr>
        <w:spacing w:after="0" w:line="240" w:lineRule="auto"/>
      </w:pPr>
      <w:r>
        <w:t>The Ohio Association of County Boards</w:t>
      </w:r>
    </w:p>
    <w:p w:rsidR="00931567" w:rsidRDefault="006912F8" w:rsidP="00931567">
      <w:pPr>
        <w:tabs>
          <w:tab w:val="left" w:pos="9270"/>
        </w:tabs>
        <w:spacing w:after="0" w:line="240" w:lineRule="auto"/>
      </w:pPr>
      <w:r>
        <w:rPr>
          <w:noProof/>
        </w:rPr>
        <w:pict w14:anchorId="73F35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2.5pt;margin-top:26.4pt;width:87.75pt;height:61.95pt;z-index:251659264;mso-position-horizontal-relative:text;mso-position-vertical-relative:text;mso-width-relative:page;mso-height-relative:page">
            <v:imagedata r:id="rId6" o:title="ARC Logo"/>
            <w10:wrap type="square"/>
          </v:shape>
        </w:pict>
      </w:r>
      <w:r>
        <w:rPr>
          <w:noProof/>
        </w:rPr>
        <w:pict w14:anchorId="1CDEF925">
          <v:shape id="_x0000_s1028" type="#_x0000_t75" style="position:absolute;margin-left:194.7pt;margin-top:31.95pt;width:101.25pt;height:50.25pt;z-index:251663360;mso-position-horizontal-relative:text;mso-position-vertical-relative:text;mso-width-relative:page;mso-height-relative:page">
            <v:imagedata r:id="rId7" o:title="OACB Logo"/>
            <w10:wrap type="square"/>
          </v:shape>
        </w:pict>
      </w:r>
      <w:r>
        <w:rPr>
          <w:noProof/>
        </w:rPr>
        <w:pict w14:anchorId="42530BB3">
          <v:shape id="_x0000_s1027" type="#_x0000_t75" style="position:absolute;margin-left:0;margin-top:39pt;width:94.8pt;height:49.35pt;z-index:251661312;mso-position-horizontal-relative:text;mso-position-vertical-relative:text;mso-width-relative:page;mso-height-relative:page">
            <v:imagedata r:id="rId8" o:title="OPRA Logo_032415_with dots_high res_5"/>
            <w10:wrap type="square"/>
          </v:shape>
        </w:pict>
      </w:r>
      <w:r w:rsidR="00931567">
        <w:t>The Arc of Ohio</w:t>
      </w:r>
    </w:p>
    <w:sectPr w:rsidR="0093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42C"/>
    <w:multiLevelType w:val="hybridMultilevel"/>
    <w:tmpl w:val="FF783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11AB"/>
    <w:multiLevelType w:val="hybridMultilevel"/>
    <w:tmpl w:val="B96A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D2"/>
    <w:rsid w:val="003C55DB"/>
    <w:rsid w:val="0053047C"/>
    <w:rsid w:val="00581FF0"/>
    <w:rsid w:val="008403E5"/>
    <w:rsid w:val="00931567"/>
    <w:rsid w:val="009B30FE"/>
    <w:rsid w:val="00A1667D"/>
    <w:rsid w:val="00AC2527"/>
    <w:rsid w:val="00BF76A7"/>
    <w:rsid w:val="00C32845"/>
    <w:rsid w:val="00D4029E"/>
    <w:rsid w:val="00E369D2"/>
    <w:rsid w:val="00E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F763695"/>
  <w15:chartTrackingRefBased/>
  <w15:docId w15:val="{9B7CE714-0665-4481-8DC3-C0DB5B0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Anita Allen</cp:lastModifiedBy>
  <cp:revision>2</cp:revision>
  <cp:lastPrinted>2019-03-05T19:30:00Z</cp:lastPrinted>
  <dcterms:created xsi:type="dcterms:W3CDTF">2019-03-05T19:30:00Z</dcterms:created>
  <dcterms:modified xsi:type="dcterms:W3CDTF">2019-03-05T19:30:00Z</dcterms:modified>
</cp:coreProperties>
</file>