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7A" w:rsidRDefault="003A127A" w:rsidP="00B6776C">
      <w:pPr>
        <w:jc w:val="center"/>
        <w:rPr>
          <w:rFonts w:asciiTheme="minorHAnsi" w:hAnsiTheme="minorHAnsi"/>
          <w:b/>
          <w:sz w:val="22"/>
          <w:szCs w:val="22"/>
          <w:u w:val="single"/>
        </w:rPr>
      </w:pPr>
    </w:p>
    <w:p w:rsidR="003A127A" w:rsidRDefault="003A127A" w:rsidP="00B6776C">
      <w:pPr>
        <w:jc w:val="center"/>
        <w:rPr>
          <w:rFonts w:asciiTheme="minorHAnsi" w:hAnsiTheme="minorHAnsi"/>
          <w:b/>
          <w:sz w:val="22"/>
          <w:szCs w:val="22"/>
          <w:u w:val="single"/>
        </w:rPr>
      </w:pPr>
    </w:p>
    <w:p w:rsidR="00B6776C" w:rsidRPr="009A643F" w:rsidRDefault="00B6776C" w:rsidP="00B6776C">
      <w:pPr>
        <w:jc w:val="center"/>
        <w:rPr>
          <w:rFonts w:asciiTheme="minorHAnsi" w:hAnsiTheme="minorHAnsi"/>
          <w:b/>
          <w:sz w:val="22"/>
          <w:szCs w:val="22"/>
          <w:u w:val="single"/>
        </w:rPr>
      </w:pPr>
      <w:r w:rsidRPr="009A643F">
        <w:rPr>
          <w:rFonts w:asciiTheme="minorHAnsi" w:hAnsiTheme="minorHAnsi"/>
          <w:b/>
          <w:sz w:val="22"/>
          <w:szCs w:val="22"/>
          <w:u w:val="single"/>
        </w:rPr>
        <w:t>OSHA Injury and Illness Recordkeeping and Reporting Requirements</w:t>
      </w:r>
    </w:p>
    <w:p w:rsidR="00B6776C" w:rsidRDefault="00B6776C" w:rsidP="00B6776C">
      <w:pPr>
        <w:rPr>
          <w:rFonts w:asciiTheme="minorHAnsi" w:hAnsiTheme="minorHAnsi"/>
          <w:color w:val="333333"/>
          <w:sz w:val="22"/>
          <w:szCs w:val="22"/>
        </w:rPr>
      </w:pPr>
      <w:r w:rsidRPr="009A643F">
        <w:rPr>
          <w:rFonts w:asciiTheme="minorHAnsi" w:hAnsiTheme="minorHAnsi"/>
          <w:sz w:val="22"/>
          <w:szCs w:val="22"/>
        </w:rPr>
        <w:t>Last year, the federal Occupational Safety and Health Administration (OSHA</w:t>
      </w:r>
      <w:r w:rsidRPr="006521E1">
        <w:rPr>
          <w:rFonts w:asciiTheme="minorHAnsi" w:hAnsiTheme="minorHAnsi"/>
          <w:sz w:val="22"/>
          <w:szCs w:val="22"/>
        </w:rPr>
        <w:t>) amended its recordkeeping rules related to workplace injuries and illnesses to require employers keeping those records to submit information to OSHA electronically.  OSHA, in turn, will post that information on its public website.  OSHA has extended the deadline for employers to submit their electronic injury and illness reports (from OSHA Form 300A) through the new</w:t>
      </w:r>
      <w:r w:rsidRPr="009A643F">
        <w:rPr>
          <w:rFonts w:asciiTheme="minorHAnsi" w:hAnsiTheme="minorHAnsi"/>
          <w:color w:val="333333"/>
          <w:sz w:val="22"/>
          <w:szCs w:val="22"/>
        </w:rPr>
        <w:t xml:space="preserve"> </w:t>
      </w:r>
      <w:hyperlink r:id="rId8" w:history="1">
        <w:r w:rsidRPr="009A643F">
          <w:rPr>
            <w:rStyle w:val="Hyperlink"/>
            <w:rFonts w:asciiTheme="minorHAnsi" w:hAnsiTheme="minorHAnsi" w:cs="Times"/>
            <w:color w:val="1D5782"/>
            <w:sz w:val="22"/>
            <w:szCs w:val="22"/>
          </w:rPr>
          <w:t>Injury Tracking Application</w:t>
        </w:r>
      </w:hyperlink>
      <w:r w:rsidRPr="009A643F">
        <w:rPr>
          <w:rStyle w:val="Hyperlink"/>
          <w:rFonts w:asciiTheme="minorHAnsi" w:hAnsiTheme="minorHAnsi" w:cs="Times"/>
          <w:sz w:val="22"/>
          <w:szCs w:val="22"/>
        </w:rPr>
        <w:t xml:space="preserve"> to December 15, 2017.</w:t>
      </w:r>
      <w:r w:rsidRPr="009A643F">
        <w:rPr>
          <w:rFonts w:asciiTheme="minorHAnsi" w:hAnsiTheme="minorHAnsi"/>
          <w:color w:val="333333"/>
          <w:sz w:val="22"/>
          <w:szCs w:val="22"/>
        </w:rPr>
        <w:t xml:space="preserve"> </w:t>
      </w:r>
    </w:p>
    <w:p w:rsidR="003A127A" w:rsidRPr="009A643F" w:rsidRDefault="003A127A" w:rsidP="00B6776C">
      <w:pPr>
        <w:rPr>
          <w:rFonts w:asciiTheme="minorHAnsi" w:hAnsiTheme="minorHAnsi"/>
          <w:color w:val="333333"/>
          <w:sz w:val="22"/>
          <w:szCs w:val="22"/>
        </w:rPr>
      </w:pPr>
    </w:p>
    <w:p w:rsidR="00B6776C" w:rsidRPr="006521E1" w:rsidRDefault="00B6776C" w:rsidP="00B6776C">
      <w:pPr>
        <w:rPr>
          <w:rFonts w:asciiTheme="minorHAnsi" w:hAnsiTheme="minorHAnsi"/>
          <w:sz w:val="22"/>
          <w:szCs w:val="22"/>
        </w:rPr>
      </w:pPr>
      <w:r w:rsidRPr="006521E1">
        <w:rPr>
          <w:rFonts w:asciiTheme="minorHAnsi" w:hAnsiTheme="minorHAnsi"/>
          <w:b/>
          <w:sz w:val="22"/>
          <w:szCs w:val="22"/>
          <w:u w:val="single"/>
        </w:rPr>
        <w:t xml:space="preserve">Who is </w:t>
      </w:r>
      <w:proofErr w:type="gramStart"/>
      <w:r w:rsidRPr="006521E1">
        <w:rPr>
          <w:rFonts w:asciiTheme="minorHAnsi" w:hAnsiTheme="minorHAnsi"/>
          <w:b/>
          <w:sz w:val="22"/>
          <w:szCs w:val="22"/>
          <w:u w:val="single"/>
        </w:rPr>
        <w:t>covered</w:t>
      </w:r>
      <w:proofErr w:type="gramEnd"/>
    </w:p>
    <w:p w:rsidR="00B6776C" w:rsidRDefault="00B6776C" w:rsidP="00B6776C">
      <w:pPr>
        <w:rPr>
          <w:rFonts w:asciiTheme="minorHAnsi" w:hAnsiTheme="minorHAnsi"/>
          <w:color w:val="000000"/>
          <w:sz w:val="22"/>
          <w:szCs w:val="22"/>
        </w:rPr>
      </w:pPr>
      <w:r w:rsidRPr="009A643F">
        <w:rPr>
          <w:rFonts w:asciiTheme="minorHAnsi" w:hAnsiTheme="minorHAnsi"/>
          <w:color w:val="000000"/>
          <w:sz w:val="22"/>
          <w:szCs w:val="22"/>
        </w:rPr>
        <w:t xml:space="preserve">“Establishments” with more than 250 employees that are currently required to keep OSHA injury and illness records, and establishments with 20 to 249 employees that are classified in industries with historically high rates of occupational injuries and illnesses, are covered by the new OSHA electronic injury reporting requirement.  An “establishment” is a single physical location where business is conducted or where services or industrial operations are performed.  </w:t>
      </w:r>
    </w:p>
    <w:p w:rsidR="003A127A" w:rsidRDefault="003A127A" w:rsidP="00B6776C">
      <w:pPr>
        <w:rPr>
          <w:rFonts w:asciiTheme="minorHAnsi" w:hAnsiTheme="minorHAnsi"/>
          <w:color w:val="000000"/>
          <w:sz w:val="22"/>
          <w:szCs w:val="22"/>
        </w:rPr>
      </w:pPr>
    </w:p>
    <w:p w:rsidR="00B6776C" w:rsidRDefault="00B6776C" w:rsidP="00B6776C">
      <w:pPr>
        <w:rPr>
          <w:rFonts w:asciiTheme="minorHAnsi" w:hAnsiTheme="minorHAnsi"/>
          <w:color w:val="000000"/>
          <w:sz w:val="22"/>
          <w:szCs w:val="22"/>
        </w:rPr>
      </w:pPr>
      <w:r w:rsidRPr="009A643F">
        <w:rPr>
          <w:rFonts w:asciiTheme="minorHAnsi" w:hAnsiTheme="minorHAnsi"/>
          <w:color w:val="000000"/>
          <w:sz w:val="22"/>
          <w:szCs w:val="22"/>
        </w:rPr>
        <w:t>For OPRA members, for example, this means that the number of employees working at a residential facility would be counted to determine whether that facility falls within the 250+ or 20 to 249-employee threshold</w:t>
      </w:r>
      <w:r>
        <w:rPr>
          <w:rFonts w:asciiTheme="minorHAnsi" w:hAnsiTheme="minorHAnsi"/>
          <w:color w:val="000000"/>
          <w:sz w:val="22"/>
          <w:szCs w:val="22"/>
        </w:rPr>
        <w:t>s</w:t>
      </w:r>
      <w:r w:rsidRPr="009A643F">
        <w:rPr>
          <w:rFonts w:asciiTheme="minorHAnsi" w:hAnsiTheme="minorHAnsi"/>
          <w:color w:val="000000"/>
          <w:sz w:val="22"/>
          <w:szCs w:val="22"/>
        </w:rPr>
        <w:t>.</w:t>
      </w:r>
      <w:r>
        <w:rPr>
          <w:rFonts w:asciiTheme="minorHAnsi" w:hAnsiTheme="minorHAnsi"/>
          <w:color w:val="000000"/>
          <w:sz w:val="22"/>
          <w:szCs w:val="22"/>
        </w:rPr>
        <w:t xml:space="preserve">  Thus, a provider with several residential facilities that together employ 30 employees, but where no single facility employs 20 or more employees, would not be considered an “establishment” that must report.  </w:t>
      </w:r>
    </w:p>
    <w:p w:rsidR="003A127A" w:rsidRPr="009A643F" w:rsidRDefault="003A127A" w:rsidP="00B6776C">
      <w:pPr>
        <w:rPr>
          <w:rFonts w:asciiTheme="minorHAnsi" w:hAnsiTheme="minorHAnsi"/>
          <w:color w:val="000000"/>
          <w:sz w:val="22"/>
          <w:szCs w:val="22"/>
        </w:rPr>
      </w:pPr>
    </w:p>
    <w:p w:rsidR="00B6776C" w:rsidRDefault="00B6776C" w:rsidP="00B6776C">
      <w:pPr>
        <w:rPr>
          <w:rFonts w:asciiTheme="minorHAnsi" w:hAnsiTheme="minorHAnsi"/>
          <w:color w:val="000000"/>
          <w:sz w:val="22"/>
          <w:szCs w:val="22"/>
        </w:rPr>
      </w:pPr>
      <w:r w:rsidRPr="009A643F">
        <w:rPr>
          <w:rFonts w:asciiTheme="minorHAnsi" w:hAnsiTheme="minorHAnsi"/>
          <w:color w:val="000000"/>
          <w:sz w:val="22"/>
          <w:szCs w:val="22"/>
        </w:rPr>
        <w:t>Relevant to OPRA members, OSHA has designated the following industries as being covered by the reporting requirement:</w:t>
      </w:r>
      <w:r>
        <w:rPr>
          <w:rFonts w:asciiTheme="minorHAnsi" w:hAnsiTheme="minorHAnsi"/>
          <w:color w:val="000000"/>
          <w:sz w:val="22"/>
          <w:szCs w:val="22"/>
        </w:rPr>
        <w:t xml:space="preserve"> </w:t>
      </w:r>
      <w:r w:rsidRPr="009A643F">
        <w:rPr>
          <w:rFonts w:asciiTheme="minorHAnsi" w:hAnsiTheme="minorHAnsi"/>
          <w:color w:val="000000"/>
          <w:sz w:val="22"/>
          <w:szCs w:val="22"/>
        </w:rPr>
        <w:t xml:space="preserve"> residential mental retardation, mental health, and substance abuse facilities; nursing care facilities; community care facilities for the elderly, other residential care facilities; and vocational rehabilitation services.  </w:t>
      </w:r>
      <w:r w:rsidRPr="00662169">
        <w:rPr>
          <w:rFonts w:asciiTheme="minorHAnsi" w:hAnsiTheme="minorHAnsi"/>
          <w:color w:val="000000"/>
          <w:sz w:val="22"/>
          <w:szCs w:val="22"/>
        </w:rPr>
        <w:t>Therefore, OPRA members who fall into one or more of these broad categories, and have location(s) with at least 20 employees, must submit one or more of the reports described below for each such location.</w:t>
      </w:r>
    </w:p>
    <w:p w:rsidR="003A127A" w:rsidRPr="00367D04" w:rsidRDefault="003A127A" w:rsidP="00B6776C">
      <w:pPr>
        <w:rPr>
          <w:rFonts w:asciiTheme="minorHAnsi" w:hAnsiTheme="minorHAnsi"/>
          <w:i/>
          <w:color w:val="000000"/>
          <w:sz w:val="22"/>
          <w:szCs w:val="22"/>
        </w:rPr>
      </w:pPr>
    </w:p>
    <w:p w:rsidR="00B6776C" w:rsidRPr="009A643F" w:rsidRDefault="00B6776C" w:rsidP="00B6776C">
      <w:pPr>
        <w:rPr>
          <w:rFonts w:asciiTheme="minorHAnsi" w:hAnsiTheme="minorHAnsi"/>
          <w:color w:val="000000"/>
          <w:sz w:val="22"/>
          <w:szCs w:val="22"/>
        </w:rPr>
      </w:pPr>
      <w:r w:rsidRPr="009A643F">
        <w:rPr>
          <w:rFonts w:asciiTheme="minorHAnsi" w:hAnsiTheme="minorHAnsi"/>
          <w:b/>
          <w:color w:val="000000"/>
          <w:sz w:val="22"/>
          <w:szCs w:val="22"/>
          <w:u w:val="single"/>
        </w:rPr>
        <w:t xml:space="preserve">What must be </w:t>
      </w:r>
      <w:proofErr w:type="gramStart"/>
      <w:r w:rsidRPr="009A643F">
        <w:rPr>
          <w:rFonts w:asciiTheme="minorHAnsi" w:hAnsiTheme="minorHAnsi"/>
          <w:b/>
          <w:color w:val="000000"/>
          <w:sz w:val="22"/>
          <w:szCs w:val="22"/>
          <w:u w:val="single"/>
        </w:rPr>
        <w:t>reported</w:t>
      </w:r>
      <w:proofErr w:type="gramEnd"/>
    </w:p>
    <w:p w:rsidR="00B6776C" w:rsidRDefault="00B6776C" w:rsidP="00B6776C">
      <w:pPr>
        <w:rPr>
          <w:rFonts w:asciiTheme="minorHAnsi" w:hAnsiTheme="minorHAnsi"/>
          <w:color w:val="000000"/>
          <w:sz w:val="22"/>
          <w:szCs w:val="22"/>
        </w:rPr>
      </w:pPr>
      <w:r w:rsidRPr="009A643F">
        <w:rPr>
          <w:rFonts w:asciiTheme="minorHAnsi" w:hAnsiTheme="minorHAnsi"/>
          <w:color w:val="000000"/>
          <w:sz w:val="22"/>
          <w:szCs w:val="22"/>
        </w:rPr>
        <w:t>Establishments with 250 or more employees must electronically submit information from OSHA Forms 300 (Log of Work-Related Injuries and Illnesses), 300A (Summary of Work-Related Injuries and Illnesses), and 301 (Injury and Illness Incident Report).</w:t>
      </w:r>
    </w:p>
    <w:p w:rsidR="003A127A" w:rsidRPr="009A643F" w:rsidRDefault="003A127A" w:rsidP="00B6776C">
      <w:pPr>
        <w:rPr>
          <w:rFonts w:asciiTheme="minorHAnsi" w:hAnsiTheme="minorHAnsi"/>
          <w:color w:val="000000"/>
          <w:sz w:val="22"/>
          <w:szCs w:val="22"/>
        </w:rPr>
      </w:pPr>
    </w:p>
    <w:p w:rsidR="00B6776C" w:rsidRDefault="00B6776C" w:rsidP="00B6776C">
      <w:pPr>
        <w:rPr>
          <w:rFonts w:asciiTheme="minorHAnsi" w:hAnsiTheme="minorHAnsi"/>
          <w:color w:val="000000"/>
          <w:sz w:val="22"/>
          <w:szCs w:val="22"/>
        </w:rPr>
      </w:pPr>
      <w:r w:rsidRPr="009A643F">
        <w:rPr>
          <w:rFonts w:asciiTheme="minorHAnsi" w:hAnsiTheme="minorHAnsi"/>
          <w:color w:val="000000"/>
          <w:sz w:val="22"/>
          <w:szCs w:val="22"/>
        </w:rPr>
        <w:t>Covered establishments with 20-249 employees must electronically submit information only from OSHA Form 300A.  Most OPRA members will fall into this category</w:t>
      </w:r>
      <w:r>
        <w:rPr>
          <w:rFonts w:asciiTheme="minorHAnsi" w:hAnsiTheme="minorHAnsi"/>
          <w:color w:val="000000"/>
          <w:sz w:val="22"/>
          <w:szCs w:val="22"/>
        </w:rPr>
        <w:t xml:space="preserve"> and so must only electronically report Form 300A</w:t>
      </w:r>
      <w:r w:rsidRPr="009A643F">
        <w:rPr>
          <w:rFonts w:asciiTheme="minorHAnsi" w:hAnsiTheme="minorHAnsi"/>
          <w:color w:val="000000"/>
          <w:sz w:val="22"/>
          <w:szCs w:val="22"/>
        </w:rPr>
        <w:t>.</w:t>
      </w:r>
    </w:p>
    <w:p w:rsidR="003A127A" w:rsidRDefault="003A127A" w:rsidP="00B6776C">
      <w:pPr>
        <w:rPr>
          <w:rFonts w:asciiTheme="minorHAnsi" w:hAnsiTheme="minorHAnsi"/>
          <w:color w:val="000000"/>
          <w:sz w:val="22"/>
          <w:szCs w:val="22"/>
        </w:rPr>
      </w:pPr>
    </w:p>
    <w:p w:rsidR="003A127A" w:rsidRDefault="003A127A" w:rsidP="00B6776C">
      <w:pPr>
        <w:rPr>
          <w:rFonts w:asciiTheme="minorHAnsi" w:hAnsiTheme="minorHAnsi"/>
          <w:color w:val="000000"/>
          <w:sz w:val="22"/>
          <w:szCs w:val="22"/>
        </w:rPr>
      </w:pPr>
    </w:p>
    <w:p w:rsidR="003A127A" w:rsidRDefault="003A127A" w:rsidP="00B6776C">
      <w:pPr>
        <w:rPr>
          <w:rFonts w:asciiTheme="minorHAnsi" w:hAnsiTheme="minorHAnsi"/>
          <w:color w:val="000000"/>
          <w:sz w:val="22"/>
          <w:szCs w:val="22"/>
        </w:rPr>
      </w:pPr>
    </w:p>
    <w:p w:rsidR="003A127A" w:rsidRDefault="003A127A" w:rsidP="00B6776C">
      <w:pPr>
        <w:rPr>
          <w:rFonts w:asciiTheme="minorHAnsi" w:hAnsiTheme="minorHAnsi"/>
          <w:color w:val="000000"/>
          <w:sz w:val="22"/>
          <w:szCs w:val="22"/>
        </w:rPr>
      </w:pPr>
    </w:p>
    <w:p w:rsidR="003A127A" w:rsidRDefault="003A127A" w:rsidP="00B6776C">
      <w:pPr>
        <w:rPr>
          <w:rFonts w:asciiTheme="minorHAnsi" w:hAnsiTheme="minorHAnsi"/>
          <w:color w:val="000000"/>
          <w:sz w:val="22"/>
          <w:szCs w:val="22"/>
        </w:rPr>
      </w:pPr>
    </w:p>
    <w:p w:rsidR="00B6776C" w:rsidRPr="009A643F" w:rsidRDefault="00B6776C" w:rsidP="00B6776C">
      <w:pPr>
        <w:rPr>
          <w:rFonts w:asciiTheme="minorHAnsi" w:hAnsiTheme="minorHAnsi"/>
          <w:color w:val="000000"/>
          <w:sz w:val="22"/>
          <w:szCs w:val="22"/>
        </w:rPr>
      </w:pPr>
      <w:r w:rsidRPr="009A643F">
        <w:rPr>
          <w:rFonts w:asciiTheme="minorHAnsi" w:hAnsiTheme="minorHAnsi"/>
          <w:b/>
          <w:color w:val="000000"/>
          <w:sz w:val="22"/>
          <w:szCs w:val="22"/>
          <w:u w:val="single"/>
        </w:rPr>
        <w:t xml:space="preserve">When </w:t>
      </w:r>
      <w:proofErr w:type="gramStart"/>
      <w:r w:rsidRPr="009A643F">
        <w:rPr>
          <w:rFonts w:asciiTheme="minorHAnsi" w:hAnsiTheme="minorHAnsi"/>
          <w:b/>
          <w:color w:val="000000"/>
          <w:sz w:val="22"/>
          <w:szCs w:val="22"/>
          <w:u w:val="single"/>
        </w:rPr>
        <w:t>must the information</w:t>
      </w:r>
      <w:proofErr w:type="gramEnd"/>
      <w:r w:rsidRPr="009A643F">
        <w:rPr>
          <w:rFonts w:asciiTheme="minorHAnsi" w:hAnsiTheme="minorHAnsi"/>
          <w:b/>
          <w:color w:val="000000"/>
          <w:sz w:val="22"/>
          <w:szCs w:val="22"/>
          <w:u w:val="single"/>
        </w:rPr>
        <w:t xml:space="preserve"> be reported</w:t>
      </w:r>
    </w:p>
    <w:p w:rsidR="00B6776C" w:rsidRPr="009A643F" w:rsidRDefault="00B6776C" w:rsidP="00B6776C">
      <w:pPr>
        <w:pStyle w:val="Heading6"/>
        <w:shd w:val="clear" w:color="auto" w:fill="FFFFFF"/>
        <w:rPr>
          <w:rFonts w:asciiTheme="minorHAnsi" w:hAnsiTheme="minorHAnsi"/>
          <w:color w:val="000000"/>
          <w:sz w:val="22"/>
          <w:szCs w:val="22"/>
        </w:rPr>
      </w:pPr>
      <w:r w:rsidRPr="00C20CC8">
        <w:rPr>
          <w:rFonts w:asciiTheme="minorHAnsi" w:hAnsiTheme="minorHAnsi"/>
          <w:color w:val="000000"/>
          <w:sz w:val="22"/>
          <w:szCs w:val="22"/>
          <w:u w:val="single"/>
        </w:rPr>
        <w:t>All</w:t>
      </w:r>
      <w:r w:rsidRPr="009A643F">
        <w:rPr>
          <w:rFonts w:asciiTheme="minorHAnsi" w:hAnsiTheme="minorHAnsi"/>
          <w:color w:val="000000"/>
          <w:sz w:val="22"/>
          <w:szCs w:val="22"/>
        </w:rPr>
        <w:t xml:space="preserve"> covered establishments </w:t>
      </w:r>
      <w:r>
        <w:rPr>
          <w:rFonts w:asciiTheme="minorHAnsi" w:hAnsiTheme="minorHAnsi"/>
          <w:color w:val="000000"/>
          <w:sz w:val="22"/>
          <w:szCs w:val="22"/>
        </w:rPr>
        <w:t xml:space="preserve">(which would include OPRA members with 20 or more employees at an establishment) </w:t>
      </w:r>
      <w:r w:rsidRPr="009A643F">
        <w:rPr>
          <w:rFonts w:asciiTheme="minorHAnsi" w:hAnsiTheme="minorHAnsi"/>
          <w:color w:val="000000"/>
          <w:sz w:val="22"/>
          <w:szCs w:val="22"/>
        </w:rPr>
        <w:t xml:space="preserve">must submit information from their completed </w:t>
      </w:r>
      <w:r w:rsidRPr="006521E1">
        <w:rPr>
          <w:rFonts w:asciiTheme="minorHAnsi" w:hAnsiTheme="minorHAnsi"/>
          <w:color w:val="000000"/>
          <w:sz w:val="22"/>
          <w:szCs w:val="22"/>
          <w:u w:val="single"/>
        </w:rPr>
        <w:t>2016</w:t>
      </w:r>
      <w:r w:rsidRPr="009A643F">
        <w:rPr>
          <w:rFonts w:asciiTheme="minorHAnsi" w:hAnsiTheme="minorHAnsi"/>
          <w:color w:val="000000"/>
          <w:sz w:val="22"/>
          <w:szCs w:val="22"/>
        </w:rPr>
        <w:t xml:space="preserve"> Form 300A by December 15, 2017.  Thereafter:</w:t>
      </w:r>
    </w:p>
    <w:p w:rsidR="00B6776C" w:rsidRPr="009A643F" w:rsidRDefault="00B6776C" w:rsidP="00B6776C">
      <w:pPr>
        <w:pStyle w:val="Heading6"/>
        <w:keepNext w:val="0"/>
        <w:keepLines w:val="0"/>
        <w:numPr>
          <w:ilvl w:val="0"/>
          <w:numId w:val="2"/>
        </w:numPr>
        <w:shd w:val="clear" w:color="auto" w:fill="FFFFFF"/>
        <w:spacing w:before="75" w:after="150" w:line="300" w:lineRule="atLeast"/>
        <w:rPr>
          <w:rFonts w:asciiTheme="minorHAnsi" w:hAnsiTheme="minorHAnsi"/>
          <w:color w:val="000000"/>
          <w:sz w:val="22"/>
          <w:szCs w:val="22"/>
        </w:rPr>
      </w:pPr>
      <w:r w:rsidRPr="009A643F">
        <w:rPr>
          <w:rFonts w:asciiTheme="minorHAnsi" w:hAnsiTheme="minorHAnsi"/>
          <w:color w:val="000000"/>
          <w:sz w:val="22"/>
          <w:szCs w:val="22"/>
        </w:rPr>
        <w:t>Covered establishments with 250 or more employees must submit information from all completed 2017 forms (300A, 300, and 301) by July 1, 2018</w:t>
      </w:r>
    </w:p>
    <w:p w:rsidR="00B6776C" w:rsidRPr="009A643F" w:rsidRDefault="00B6776C" w:rsidP="00B6776C">
      <w:pPr>
        <w:pStyle w:val="Heading6"/>
        <w:keepNext w:val="0"/>
        <w:keepLines w:val="0"/>
        <w:numPr>
          <w:ilvl w:val="0"/>
          <w:numId w:val="2"/>
        </w:numPr>
        <w:shd w:val="clear" w:color="auto" w:fill="FFFFFF"/>
        <w:spacing w:before="75" w:after="150" w:line="300" w:lineRule="atLeast"/>
        <w:rPr>
          <w:rFonts w:asciiTheme="minorHAnsi" w:hAnsiTheme="minorHAnsi"/>
          <w:color w:val="000000"/>
          <w:sz w:val="22"/>
          <w:szCs w:val="22"/>
        </w:rPr>
      </w:pPr>
      <w:r w:rsidRPr="009A643F">
        <w:rPr>
          <w:rFonts w:asciiTheme="minorHAnsi" w:hAnsiTheme="minorHAnsi"/>
          <w:color w:val="000000"/>
          <w:sz w:val="22"/>
          <w:szCs w:val="22"/>
        </w:rPr>
        <w:t xml:space="preserve">Covered establishments with 20-249 employees must submit information from their completed 2017 Form 300A by July 1, 2018. </w:t>
      </w:r>
    </w:p>
    <w:p w:rsidR="00B6776C" w:rsidRPr="009B25DA" w:rsidRDefault="00B6776C" w:rsidP="00B6776C">
      <w:pPr>
        <w:pStyle w:val="Heading6"/>
        <w:keepNext w:val="0"/>
        <w:keepLines w:val="0"/>
        <w:numPr>
          <w:ilvl w:val="0"/>
          <w:numId w:val="2"/>
        </w:numPr>
        <w:shd w:val="clear" w:color="auto" w:fill="FFFFFF"/>
        <w:spacing w:before="75" w:after="150" w:line="300" w:lineRule="atLeast"/>
        <w:rPr>
          <w:rFonts w:asciiTheme="minorHAnsi" w:hAnsiTheme="minorHAnsi"/>
          <w:b/>
          <w:bCs/>
          <w:color w:val="000000"/>
          <w:sz w:val="22"/>
          <w:szCs w:val="22"/>
        </w:rPr>
      </w:pPr>
      <w:r w:rsidRPr="009A643F">
        <w:rPr>
          <w:rFonts w:asciiTheme="minorHAnsi" w:hAnsiTheme="minorHAnsi"/>
          <w:color w:val="000000"/>
          <w:sz w:val="22"/>
          <w:szCs w:val="22"/>
        </w:rPr>
        <w:t>Beginning in 2019 and every year thereafter, covered establishments must submit the information by March 2.</w:t>
      </w:r>
    </w:p>
    <w:p w:rsidR="00B6776C" w:rsidRDefault="00B6776C" w:rsidP="00B6776C">
      <w:pPr>
        <w:pStyle w:val="Heading6"/>
        <w:shd w:val="clear" w:color="auto" w:fill="FFFFFF"/>
        <w:ind w:left="360"/>
        <w:rPr>
          <w:rFonts w:asciiTheme="minorHAnsi" w:hAnsiTheme="minorHAnsi"/>
          <w:color w:val="000000"/>
          <w:sz w:val="22"/>
          <w:szCs w:val="22"/>
        </w:rPr>
      </w:pPr>
      <w:r>
        <w:rPr>
          <w:rFonts w:asciiTheme="minorHAnsi" w:hAnsiTheme="minorHAnsi"/>
          <w:color w:val="000000"/>
          <w:sz w:val="22"/>
          <w:szCs w:val="22"/>
        </w:rPr>
        <w:t xml:space="preserve">OPRA members are reminded that, as a member benefit of OPRA, each member is entitled to two free hours of legal services from the law firm of Vorys, </w:t>
      </w:r>
      <w:proofErr w:type="spellStart"/>
      <w:r>
        <w:rPr>
          <w:rFonts w:asciiTheme="minorHAnsi" w:hAnsiTheme="minorHAnsi"/>
          <w:color w:val="000000"/>
          <w:sz w:val="22"/>
          <w:szCs w:val="22"/>
        </w:rPr>
        <w:t>Sater</w:t>
      </w:r>
      <w:proofErr w:type="spellEnd"/>
      <w:r>
        <w:rPr>
          <w:rFonts w:asciiTheme="minorHAnsi" w:hAnsiTheme="minorHAnsi"/>
          <w:color w:val="000000"/>
          <w:sz w:val="22"/>
          <w:szCs w:val="22"/>
        </w:rPr>
        <w:t xml:space="preserve">, Seymour and Pease, LLP on an annual basis.  Please contact Suzanne Scrutton, Partner at Vorys, at 614.464.8313 or </w:t>
      </w:r>
      <w:hyperlink r:id="rId9" w:history="1">
        <w:r w:rsidRPr="00352F42">
          <w:rPr>
            <w:rStyle w:val="Hyperlink"/>
            <w:rFonts w:asciiTheme="minorHAnsi" w:hAnsiTheme="minorHAnsi"/>
            <w:sz w:val="22"/>
            <w:szCs w:val="22"/>
          </w:rPr>
          <w:t>sjscrutton@vorys.com</w:t>
        </w:r>
      </w:hyperlink>
      <w:r>
        <w:rPr>
          <w:rFonts w:asciiTheme="minorHAnsi" w:hAnsiTheme="minorHAnsi"/>
          <w:color w:val="000000"/>
          <w:sz w:val="22"/>
          <w:szCs w:val="22"/>
        </w:rPr>
        <w:t>.</w:t>
      </w:r>
    </w:p>
    <w:p w:rsidR="00B6776C" w:rsidRPr="009A643F" w:rsidRDefault="00B6776C" w:rsidP="00B6776C">
      <w:pPr>
        <w:pStyle w:val="Heading6"/>
        <w:shd w:val="clear" w:color="auto" w:fill="FFFFFF"/>
        <w:ind w:left="720"/>
        <w:rPr>
          <w:rFonts w:asciiTheme="minorHAnsi" w:hAnsiTheme="minorHAnsi"/>
          <w:b/>
          <w:bCs/>
          <w:color w:val="000000"/>
          <w:sz w:val="22"/>
          <w:szCs w:val="22"/>
        </w:rPr>
      </w:pPr>
    </w:p>
    <w:p w:rsidR="00B6776C" w:rsidRPr="001A270B" w:rsidRDefault="00B6776C" w:rsidP="00B6776C">
      <w:pPr>
        <w:framePr w:w="4766" w:h="700" w:hSpace="180" w:wrap="notBeside" w:vAnchor="page" w:hAnchor="text" w:y="16001" w:anchorLock="1"/>
        <w:rPr>
          <w:color w:val="FF0000"/>
          <w:sz w:val="14"/>
          <w:szCs w:val="16"/>
        </w:rPr>
      </w:pPr>
      <w:bookmarkStart w:id="0" w:name="vsLastFooter"/>
      <w:r>
        <w:rPr>
          <w:color w:val="FF0000"/>
          <w:sz w:val="14"/>
          <w:szCs w:val="16"/>
        </w:rPr>
        <w:t>12/02/2017 28809194 V.2</w:t>
      </w:r>
    </w:p>
    <w:bookmarkEnd w:id="0"/>
    <w:p w:rsidR="00B6776C" w:rsidRPr="009A643F" w:rsidRDefault="00B6776C" w:rsidP="00B6776C">
      <w:pPr>
        <w:pStyle w:val="Heading6"/>
        <w:shd w:val="clear" w:color="auto" w:fill="FFFFFF"/>
        <w:rPr>
          <w:rStyle w:val="Strong"/>
          <w:rFonts w:asciiTheme="minorHAnsi" w:hAnsiTheme="minorHAnsi"/>
          <w:color w:val="000000"/>
          <w:sz w:val="22"/>
          <w:szCs w:val="22"/>
        </w:rPr>
      </w:pPr>
    </w:p>
    <w:p w:rsidR="00FD7FA1" w:rsidRDefault="00FD7FA1" w:rsidP="00877AD1">
      <w:pPr>
        <w:tabs>
          <w:tab w:val="left" w:pos="360"/>
        </w:tabs>
        <w:rPr>
          <w:rFonts w:asciiTheme="majorHAnsi" w:hAnsiTheme="majorHAnsi"/>
        </w:rPr>
      </w:pPr>
    </w:p>
    <w:sectPr w:rsidR="00FD7FA1" w:rsidSect="00580CF5">
      <w:footerReference w:type="default" r:id="rId10"/>
      <w:headerReference w:type="first" r:id="rId11"/>
      <w:footerReference w:type="first" r:id="rId12"/>
      <w:pgSz w:w="12240" w:h="15840" w:code="1"/>
      <w:pgMar w:top="2970" w:right="1800" w:bottom="1440" w:left="180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69" w:rsidRDefault="00E97669" w:rsidP="005A650E">
      <w:r>
        <w:separator/>
      </w:r>
    </w:p>
  </w:endnote>
  <w:endnote w:type="continuationSeparator" w:id="0">
    <w:p w:rsidR="00E97669" w:rsidRDefault="00E97669"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5" w:rsidRPr="007B51B0" w:rsidRDefault="00580CF5"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w:t>
    </w:r>
    <w:proofErr w:type="gramStart"/>
    <w:r w:rsidRPr="007B51B0">
      <w:rPr>
        <w:rFonts w:ascii="Calibri" w:eastAsiaTheme="minorHAnsi" w:hAnsi="Calibri" w:cstheme="majorBidi"/>
        <w:b/>
        <w:color w:val="365F91" w:themeColor="accent1" w:themeShade="BF"/>
        <w:spacing w:val="-3"/>
        <w:sz w:val="20"/>
        <w:szCs w:val="20"/>
      </w:rPr>
      <w:t>6772  •</w:t>
    </w:r>
    <w:proofErr w:type="gramEnd"/>
    <w:r w:rsidRPr="007B51B0">
      <w:rPr>
        <w:rFonts w:ascii="Calibri" w:eastAsiaTheme="minorHAnsi" w:hAnsi="Calibri" w:cstheme="majorBidi"/>
        <w:b/>
        <w:color w:val="365F91" w:themeColor="accent1" w:themeShade="BF"/>
        <w:spacing w:val="-3"/>
        <w:sz w:val="20"/>
        <w:szCs w:val="20"/>
      </w:rPr>
      <w:t xml:space="preserve">  Fax 614-224-3340  •  1152 </w:t>
    </w:r>
    <w:proofErr w:type="spellStart"/>
    <w:r w:rsidRPr="007B51B0">
      <w:rPr>
        <w:rFonts w:ascii="Calibri" w:eastAsiaTheme="minorHAnsi" w:hAnsi="Calibri" w:cstheme="majorBidi"/>
        <w:b/>
        <w:color w:val="365F91" w:themeColor="accent1" w:themeShade="BF"/>
        <w:spacing w:val="-3"/>
        <w:sz w:val="20"/>
        <w:szCs w:val="20"/>
      </w:rPr>
      <w:t>Goodale</w:t>
    </w:r>
    <w:proofErr w:type="spellEnd"/>
    <w:r w:rsidRPr="007B51B0">
      <w:rPr>
        <w:rFonts w:ascii="Calibri" w:eastAsiaTheme="minorHAnsi" w:hAnsi="Calibri" w:cstheme="majorBidi"/>
        <w:b/>
        <w:color w:val="365F91" w:themeColor="accent1" w:themeShade="BF"/>
        <w:spacing w:val="-3"/>
        <w:sz w:val="20"/>
        <w:szCs w:val="20"/>
      </w:rPr>
      <w:t xml:space="preserve"> Blvd  •  Columbus, OH 43212  •  www.opra.org</w:t>
    </w:r>
  </w:p>
  <w:p w:rsidR="00580CF5" w:rsidRDefault="005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Pr="007B51B0" w:rsidRDefault="00F76959"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w:t>
    </w:r>
    <w:proofErr w:type="gramStart"/>
    <w:r w:rsidRPr="007B51B0">
      <w:rPr>
        <w:rFonts w:ascii="Calibri" w:eastAsiaTheme="minorHAnsi" w:hAnsi="Calibri" w:cstheme="majorBidi"/>
        <w:b/>
        <w:color w:val="365F91" w:themeColor="accent1" w:themeShade="BF"/>
        <w:spacing w:val="-3"/>
        <w:sz w:val="20"/>
        <w:szCs w:val="20"/>
      </w:rPr>
      <w:t>6772  •</w:t>
    </w:r>
    <w:proofErr w:type="gramEnd"/>
    <w:r w:rsidRPr="007B51B0">
      <w:rPr>
        <w:rFonts w:ascii="Calibri" w:eastAsiaTheme="minorHAnsi" w:hAnsi="Calibri" w:cstheme="majorBidi"/>
        <w:b/>
        <w:color w:val="365F91" w:themeColor="accent1" w:themeShade="BF"/>
        <w:spacing w:val="-3"/>
        <w:sz w:val="20"/>
        <w:szCs w:val="20"/>
      </w:rPr>
      <w:t xml:space="preserve">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69" w:rsidRDefault="00E97669" w:rsidP="005A650E">
      <w:r>
        <w:separator/>
      </w:r>
    </w:p>
  </w:footnote>
  <w:footnote w:type="continuationSeparator" w:id="0">
    <w:p w:rsidR="00E97669" w:rsidRDefault="00E97669"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Default="00F76959" w:rsidP="00C05E7C">
    <w:pPr>
      <w:ind w:left="-1440"/>
    </w:pPr>
    <w:r w:rsidRPr="00B848A7">
      <w:rPr>
        <w:noProof/>
      </w:rPr>
      <w:drawing>
        <wp:anchor distT="0" distB="0" distL="114300" distR="114300" simplePos="0" relativeHeight="251681792" behindDoc="0" locked="0" layoutInCell="1" allowOverlap="1" wp14:anchorId="1F24D7F8" wp14:editId="637E0BF9">
          <wp:simplePos x="0" y="0"/>
          <wp:positionH relativeFrom="page">
            <wp:posOffset>381000</wp:posOffset>
          </wp:positionH>
          <wp:positionV relativeFrom="page">
            <wp:posOffset>533400</wp:posOffset>
          </wp:positionV>
          <wp:extent cx="1638300" cy="904875"/>
          <wp:effectExtent l="19050" t="0" r="0" b="0"/>
          <wp:wrapSquare wrapText="bothSides"/>
          <wp:docPr id="24"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D72D7E"/>
    <w:multiLevelType w:val="hybridMultilevel"/>
    <w:tmpl w:val="02A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622DD"/>
    <w:rsid w:val="0008095E"/>
    <w:rsid w:val="000E124F"/>
    <w:rsid w:val="000F6040"/>
    <w:rsid w:val="001100B0"/>
    <w:rsid w:val="001456BA"/>
    <w:rsid w:val="00150BE6"/>
    <w:rsid w:val="0015394C"/>
    <w:rsid w:val="001914E3"/>
    <w:rsid w:val="001B09DF"/>
    <w:rsid w:val="001B57E7"/>
    <w:rsid w:val="002014B3"/>
    <w:rsid w:val="00224AE8"/>
    <w:rsid w:val="00283177"/>
    <w:rsid w:val="002F347D"/>
    <w:rsid w:val="003A127A"/>
    <w:rsid w:val="003C3841"/>
    <w:rsid w:val="003E1C26"/>
    <w:rsid w:val="003E5764"/>
    <w:rsid w:val="0040492C"/>
    <w:rsid w:val="00437767"/>
    <w:rsid w:val="00444A8A"/>
    <w:rsid w:val="00454DDC"/>
    <w:rsid w:val="00464D5E"/>
    <w:rsid w:val="004834FE"/>
    <w:rsid w:val="00493153"/>
    <w:rsid w:val="00495801"/>
    <w:rsid w:val="004D2FAD"/>
    <w:rsid w:val="004D4D80"/>
    <w:rsid w:val="004F2700"/>
    <w:rsid w:val="005367AB"/>
    <w:rsid w:val="00560E1D"/>
    <w:rsid w:val="00565676"/>
    <w:rsid w:val="00575823"/>
    <w:rsid w:val="00580CF5"/>
    <w:rsid w:val="00590433"/>
    <w:rsid w:val="005A650E"/>
    <w:rsid w:val="005D65F4"/>
    <w:rsid w:val="00632600"/>
    <w:rsid w:val="00634351"/>
    <w:rsid w:val="00644D8E"/>
    <w:rsid w:val="006600E1"/>
    <w:rsid w:val="006A3ECD"/>
    <w:rsid w:val="006D39C1"/>
    <w:rsid w:val="0072531B"/>
    <w:rsid w:val="00770673"/>
    <w:rsid w:val="00780CAB"/>
    <w:rsid w:val="007850A8"/>
    <w:rsid w:val="007B4A54"/>
    <w:rsid w:val="007B51B0"/>
    <w:rsid w:val="007B73CB"/>
    <w:rsid w:val="007E6501"/>
    <w:rsid w:val="008065C7"/>
    <w:rsid w:val="00863A64"/>
    <w:rsid w:val="00877AD1"/>
    <w:rsid w:val="008A3B3A"/>
    <w:rsid w:val="0091691A"/>
    <w:rsid w:val="00922E4E"/>
    <w:rsid w:val="009376D4"/>
    <w:rsid w:val="00937917"/>
    <w:rsid w:val="009F3A63"/>
    <w:rsid w:val="009F538A"/>
    <w:rsid w:val="00A074CE"/>
    <w:rsid w:val="00A137F9"/>
    <w:rsid w:val="00A93673"/>
    <w:rsid w:val="00B22F8D"/>
    <w:rsid w:val="00B42262"/>
    <w:rsid w:val="00B5477B"/>
    <w:rsid w:val="00B57501"/>
    <w:rsid w:val="00B60F05"/>
    <w:rsid w:val="00B62FA4"/>
    <w:rsid w:val="00B6776C"/>
    <w:rsid w:val="00B848A7"/>
    <w:rsid w:val="00B961AB"/>
    <w:rsid w:val="00BD05AB"/>
    <w:rsid w:val="00BD536B"/>
    <w:rsid w:val="00C05E7C"/>
    <w:rsid w:val="00C07117"/>
    <w:rsid w:val="00C27D04"/>
    <w:rsid w:val="00C50F3A"/>
    <w:rsid w:val="00C53606"/>
    <w:rsid w:val="00C97214"/>
    <w:rsid w:val="00D3756C"/>
    <w:rsid w:val="00DA1DA2"/>
    <w:rsid w:val="00DB33F4"/>
    <w:rsid w:val="00DD7560"/>
    <w:rsid w:val="00DF4C96"/>
    <w:rsid w:val="00E47FD9"/>
    <w:rsid w:val="00E56023"/>
    <w:rsid w:val="00E97669"/>
    <w:rsid w:val="00EA5A95"/>
    <w:rsid w:val="00EC5951"/>
    <w:rsid w:val="00ED0A06"/>
    <w:rsid w:val="00F12FBB"/>
    <w:rsid w:val="00F70B0C"/>
    <w:rsid w:val="00F76959"/>
    <w:rsid w:val="00FC2EBC"/>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2C132"/>
  <w15:docId w15:val="{CE0B0C42-1300-47BE-B8AA-3A8AB565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paragraph" w:styleId="Heading6">
    <w:name w:val="heading 6"/>
    <w:basedOn w:val="Normal"/>
    <w:next w:val="Normal"/>
    <w:link w:val="Heading6Char"/>
    <w:uiPriority w:val="9"/>
    <w:semiHidden/>
    <w:unhideWhenUsed/>
    <w:qFormat/>
    <w:rsid w:val="00B6776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character" w:customStyle="1" w:styleId="Heading6Char">
    <w:name w:val="Heading 6 Char"/>
    <w:basedOn w:val="DefaultParagraphFont"/>
    <w:link w:val="Heading6"/>
    <w:uiPriority w:val="9"/>
    <w:semiHidden/>
    <w:rsid w:val="00B6776C"/>
    <w:rPr>
      <w:rFonts w:asciiTheme="majorHAnsi" w:eastAsiaTheme="majorEastAsia" w:hAnsiTheme="majorHAnsi"/>
      <w:color w:val="243F60" w:themeColor="accent1" w:themeShade="7F"/>
      <w:sz w:val="24"/>
    </w:rPr>
  </w:style>
  <w:style w:type="character" w:styleId="Strong">
    <w:name w:val="Strong"/>
    <w:basedOn w:val="DefaultParagraphFont"/>
    <w:uiPriority w:val="22"/>
    <w:qFormat/>
    <w:rsid w:val="00B6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ZWFzPTEmbWFpbGluZ2lkPTIwMTcxMTIyLjgxMzEzODUxJm1lc3NhZ2VpZD1NREItUFJELUJVTC0yMDE3MTEyMi44MTMxMzg1MSZkYXRhYmFzZWlkPTEwMDEmc2VyaWFsPTE3NDY5NzczJmVtYWlsaWQ9YmFzaGVwbGVyQHZvcnlzLmNvbSZ1c2VyaWQ9YmFzaGVwbGVyQHZvcnlzLmNvbSZmbD0mZXh0cmE9TXVsdGl2YXJpYXRlSWQ9JiYm&amp;&amp;&amp;101&amp;&amp;&amp;https://www.osha.gov/injuryreporting/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jscrutton@vory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26D6-24CF-4134-A69B-E6A12C43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2</cp:revision>
  <cp:lastPrinted>2012-10-19T14:56:00Z</cp:lastPrinted>
  <dcterms:created xsi:type="dcterms:W3CDTF">2017-12-07T16:31:00Z</dcterms:created>
  <dcterms:modified xsi:type="dcterms:W3CDTF">2017-12-07T16:31:00Z</dcterms:modified>
</cp:coreProperties>
</file>