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1E" w:rsidRDefault="007123A8"/>
    <w:p w:rsidR="009B3E63" w:rsidRDefault="009B3E63"/>
    <w:p w:rsidR="009B3E63" w:rsidRDefault="009B3E63"/>
    <w:p w:rsidR="009B3E63" w:rsidRDefault="009B3E63"/>
    <w:p w:rsidR="00825D99" w:rsidRDefault="00825D99" w:rsidP="00825D99">
      <w:pPr>
        <w:ind w:left="1440"/>
        <w:rPr>
          <w:rFonts w:ascii="Calibri" w:hAnsi="Calibri"/>
          <w:color w:val="1F497D"/>
        </w:rPr>
      </w:pPr>
    </w:p>
    <w:p w:rsidR="00825D99" w:rsidRPr="00825D99" w:rsidRDefault="00825D99" w:rsidP="00825D99">
      <w:pPr>
        <w:ind w:left="1440"/>
        <w:jc w:val="center"/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HR Committee Agenda</w:t>
      </w:r>
    </w:p>
    <w:p w:rsidR="00825D99" w:rsidRPr="00825D99" w:rsidRDefault="00825D99" w:rsidP="00825D99">
      <w:pPr>
        <w:ind w:left="1440"/>
        <w:jc w:val="center"/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Tuesday, July 11</w:t>
      </w:r>
    </w:p>
    <w:p w:rsidR="00825D99" w:rsidRPr="00825D99" w:rsidRDefault="00825D99" w:rsidP="00825D99">
      <w:pPr>
        <w:ind w:left="1440"/>
        <w:jc w:val="center"/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10:20 – 2:00</w:t>
      </w:r>
    </w:p>
    <w:p w:rsidR="00825D99" w:rsidRPr="00825D99" w:rsidRDefault="00825D99" w:rsidP="00825D99">
      <w:pPr>
        <w:ind w:left="1440"/>
        <w:jc w:val="center"/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OPRA Office</w:t>
      </w:r>
    </w:p>
    <w:p w:rsidR="00825D99" w:rsidRPr="00825D99" w:rsidRDefault="00825D99" w:rsidP="00825D99">
      <w:pPr>
        <w:ind w:left="1440"/>
        <w:rPr>
          <w:rFonts w:ascii="Calibri" w:hAnsi="Calibri"/>
          <w:color w:val="1F497D"/>
          <w:sz w:val="20"/>
          <w:szCs w:val="20"/>
        </w:rPr>
      </w:pPr>
    </w:p>
    <w:p w:rsidR="00825D99" w:rsidRPr="00825D99" w:rsidRDefault="00825D99" w:rsidP="00825D99">
      <w:pPr>
        <w:ind w:left="1440"/>
        <w:rPr>
          <w:rFonts w:ascii="Calibri" w:hAnsi="Calibri"/>
          <w:color w:val="1F497D"/>
          <w:sz w:val="20"/>
          <w:szCs w:val="20"/>
        </w:rPr>
      </w:pPr>
    </w:p>
    <w:p w:rsidR="00825D99" w:rsidRPr="00825D99" w:rsidRDefault="00825D99" w:rsidP="00825D99">
      <w:pPr>
        <w:ind w:left="1440"/>
        <w:rPr>
          <w:rFonts w:ascii="Calibri" w:hAnsi="Calibri"/>
          <w:color w:val="1F497D"/>
          <w:sz w:val="20"/>
          <w:szCs w:val="20"/>
        </w:rPr>
      </w:pPr>
    </w:p>
    <w:p w:rsidR="00825D99" w:rsidRPr="00825D99" w:rsidRDefault="00825D99" w:rsidP="00825D99">
      <w:pPr>
        <w:pStyle w:val="ListParagraph"/>
        <w:numPr>
          <w:ilvl w:val="0"/>
          <w:numId w:val="10"/>
        </w:numPr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b/>
          <w:color w:val="1F497D"/>
          <w:sz w:val="20"/>
          <w:szCs w:val="20"/>
          <w:u w:val="single"/>
        </w:rPr>
        <w:t>D</w:t>
      </w:r>
      <w:r w:rsidRPr="00825D99">
        <w:rPr>
          <w:rFonts w:ascii="Calibri" w:hAnsi="Calibri"/>
          <w:b/>
          <w:color w:val="1F497D"/>
          <w:sz w:val="20"/>
          <w:szCs w:val="20"/>
          <w:u w:val="single"/>
        </w:rPr>
        <w:t>on Boyd, Director, Labor and Legal Affairs , Ohio Chamber of Commerce</w:t>
      </w:r>
      <w:r>
        <w:rPr>
          <w:rFonts w:ascii="Calibri" w:hAnsi="Calibri"/>
          <w:color w:val="1F497D"/>
          <w:sz w:val="20"/>
          <w:szCs w:val="20"/>
        </w:rPr>
        <w:t>:</w:t>
      </w:r>
    </w:p>
    <w:p w:rsidR="00825D99" w:rsidRPr="00825D99" w:rsidRDefault="00825D99" w:rsidP="00825D99">
      <w:pPr>
        <w:ind w:left="1080"/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Workers’ Compensation Legislation &amp; Developments – Labor and HR Legislation Updates and Budget Overview along with how The Ohio Chamber of Commerce Commi</w:t>
      </w:r>
      <w:r>
        <w:rPr>
          <w:rFonts w:ascii="Calibri" w:hAnsi="Calibri"/>
          <w:color w:val="1F497D"/>
          <w:sz w:val="20"/>
          <w:szCs w:val="20"/>
        </w:rPr>
        <w:t>ttee is structured and involved</w:t>
      </w:r>
    </w:p>
    <w:p w:rsidR="00825D99" w:rsidRPr="00825D99" w:rsidRDefault="00825D99" w:rsidP="00825D99">
      <w:pPr>
        <w:ind w:left="360" w:firstLine="720"/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 xml:space="preserve">Will discuss </w:t>
      </w:r>
      <w:r w:rsidRPr="00825D99">
        <w:rPr>
          <w:rFonts w:ascii="Calibri" w:hAnsi="Calibri"/>
          <w:color w:val="1F497D"/>
          <w:sz w:val="20"/>
          <w:szCs w:val="20"/>
        </w:rPr>
        <w:t>the most recent civil liability on the gun issue</w:t>
      </w:r>
    </w:p>
    <w:p w:rsidR="00825D99" w:rsidRPr="00825D99" w:rsidRDefault="00825D99" w:rsidP="00825D99">
      <w:pPr>
        <w:ind w:left="1080"/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T</w:t>
      </w:r>
      <w:r w:rsidRPr="00825D99">
        <w:rPr>
          <w:rFonts w:ascii="Calibri" w:hAnsi="Calibri"/>
          <w:color w:val="1F497D"/>
          <w:sz w:val="20"/>
          <w:szCs w:val="20"/>
        </w:rPr>
        <w:t>his will also provide us an opportunity in understanding how issues get voted on</w:t>
      </w:r>
      <w:r>
        <w:rPr>
          <w:rFonts w:ascii="Calibri" w:hAnsi="Calibri"/>
          <w:color w:val="1F497D"/>
          <w:sz w:val="20"/>
          <w:szCs w:val="20"/>
        </w:rPr>
        <w:t xml:space="preserve"> a</w:t>
      </w:r>
      <w:r w:rsidRPr="00825D99">
        <w:rPr>
          <w:rFonts w:ascii="Calibri" w:hAnsi="Calibri"/>
          <w:color w:val="1F497D"/>
          <w:sz w:val="20"/>
          <w:szCs w:val="20"/>
        </w:rPr>
        <w:t>nd importance of employer/Provider participation at the committee level</w:t>
      </w:r>
    </w:p>
    <w:p w:rsidR="00825D99" w:rsidRPr="00825D99" w:rsidRDefault="00825D99" w:rsidP="00825D99">
      <w:pPr>
        <w:ind w:left="720"/>
        <w:rPr>
          <w:rFonts w:ascii="Calibri" w:hAnsi="Calibri"/>
          <w:color w:val="1F497D"/>
          <w:sz w:val="20"/>
          <w:szCs w:val="20"/>
        </w:rPr>
      </w:pPr>
    </w:p>
    <w:p w:rsidR="00825D99" w:rsidRPr="00825D99" w:rsidRDefault="00825D99" w:rsidP="00825D99">
      <w:pPr>
        <w:ind w:left="720"/>
        <w:rPr>
          <w:rFonts w:ascii="Calibri" w:hAnsi="Calibri"/>
          <w:color w:val="1F497D"/>
          <w:sz w:val="20"/>
          <w:szCs w:val="20"/>
        </w:rPr>
      </w:pPr>
    </w:p>
    <w:p w:rsidR="00825D99" w:rsidRPr="00825D99" w:rsidRDefault="00825D99" w:rsidP="00825D99">
      <w:pPr>
        <w:pStyle w:val="ListParagraph"/>
        <w:numPr>
          <w:ilvl w:val="0"/>
          <w:numId w:val="10"/>
        </w:numPr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b/>
          <w:color w:val="1F497D"/>
          <w:sz w:val="20"/>
          <w:szCs w:val="20"/>
          <w:u w:val="single"/>
        </w:rPr>
        <w:t>Diane Evans, Publisher, My HIPAA Guide</w:t>
      </w:r>
      <w:r>
        <w:rPr>
          <w:rFonts w:ascii="Calibri" w:hAnsi="Calibri"/>
          <w:color w:val="1F497D"/>
          <w:sz w:val="20"/>
          <w:szCs w:val="20"/>
        </w:rPr>
        <w:t>:</w:t>
      </w:r>
      <w:r w:rsidRPr="00825D99">
        <w:rPr>
          <w:rFonts w:ascii="Calibri" w:hAnsi="Calibri"/>
          <w:color w:val="1F497D"/>
          <w:sz w:val="20"/>
          <w:szCs w:val="20"/>
        </w:rPr>
        <w:t xml:space="preserve"> </w:t>
      </w:r>
    </w:p>
    <w:p w:rsidR="00825D99" w:rsidRPr="00825D99" w:rsidRDefault="00825D99" w:rsidP="00825D99">
      <w:pPr>
        <w:ind w:left="1080"/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A</w:t>
      </w:r>
      <w:r w:rsidRPr="00825D99">
        <w:rPr>
          <w:rFonts w:ascii="Calibri" w:hAnsi="Calibri"/>
          <w:color w:val="1F497D"/>
          <w:sz w:val="20"/>
          <w:szCs w:val="20"/>
        </w:rPr>
        <w:t>n overview of the program her company has specifically designed for the DD members of OPRA</w:t>
      </w:r>
      <w:bookmarkStart w:id="0" w:name="_GoBack"/>
      <w:bookmarkEnd w:id="0"/>
      <w:r w:rsidRPr="00825D99">
        <w:rPr>
          <w:rFonts w:ascii="Calibri" w:hAnsi="Calibri"/>
          <w:color w:val="1F497D"/>
          <w:sz w:val="20"/>
          <w:szCs w:val="20"/>
        </w:rPr>
        <w:t xml:space="preserve"> in regards to co</w:t>
      </w:r>
      <w:r>
        <w:rPr>
          <w:rFonts w:ascii="Calibri" w:hAnsi="Calibri"/>
          <w:color w:val="1F497D"/>
          <w:sz w:val="20"/>
          <w:szCs w:val="20"/>
        </w:rPr>
        <w:t>mpliance with HIPAA regulations</w:t>
      </w:r>
    </w:p>
    <w:p w:rsidR="00825D99" w:rsidRPr="00825D99" w:rsidRDefault="00825D99" w:rsidP="00825D99">
      <w:pPr>
        <w:ind w:left="1080"/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She has a unique service for those Providers who wish minimal support in being compliant to more extensive hands-on-suppor</w:t>
      </w:r>
      <w:r>
        <w:rPr>
          <w:rFonts w:ascii="Calibri" w:hAnsi="Calibri"/>
          <w:color w:val="1F497D"/>
          <w:sz w:val="20"/>
          <w:szCs w:val="20"/>
        </w:rPr>
        <w:t>t</w:t>
      </w:r>
      <w:r>
        <w:rPr>
          <w:rFonts w:ascii="Calibri" w:hAnsi="Calibri"/>
          <w:color w:val="1F497D"/>
          <w:sz w:val="20"/>
          <w:szCs w:val="20"/>
        </w:rPr>
        <w:tab/>
      </w:r>
    </w:p>
    <w:p w:rsidR="00825D99" w:rsidRPr="00825D99" w:rsidRDefault="00825D99" w:rsidP="00825D99">
      <w:pPr>
        <w:ind w:left="1080"/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 xml:space="preserve">She has designed programs to meet the financial needs of any Provider according to what service they would like to present. </w:t>
      </w:r>
      <w:proofErr w:type="spellStart"/>
      <w:r w:rsidRPr="00825D99">
        <w:rPr>
          <w:rFonts w:ascii="Calibri" w:hAnsi="Calibri"/>
          <w:color w:val="1F497D"/>
          <w:sz w:val="20"/>
          <w:szCs w:val="20"/>
        </w:rPr>
        <w:t>E.g.’s</w:t>
      </w:r>
      <w:proofErr w:type="spellEnd"/>
      <w:r w:rsidRPr="00825D99">
        <w:rPr>
          <w:rFonts w:ascii="Calibri" w:hAnsi="Calibri"/>
          <w:color w:val="1F497D"/>
          <w:sz w:val="20"/>
          <w:szCs w:val="20"/>
        </w:rPr>
        <w:t xml:space="preserve"> are:</w:t>
      </w:r>
    </w:p>
    <w:p w:rsidR="00825D99" w:rsidRPr="00825D99" w:rsidRDefault="00825D99" w:rsidP="00825D99">
      <w:pPr>
        <w:pStyle w:val="ListParagraph"/>
        <w:numPr>
          <w:ilvl w:val="0"/>
          <w:numId w:val="12"/>
        </w:numPr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Policies &amp; Procedures for Financial and Data Security</w:t>
      </w:r>
    </w:p>
    <w:p w:rsidR="00825D99" w:rsidRPr="00825D99" w:rsidRDefault="00825D99" w:rsidP="00825D99">
      <w:pPr>
        <w:pStyle w:val="ListParagraph"/>
        <w:numPr>
          <w:ilvl w:val="0"/>
          <w:numId w:val="12"/>
        </w:numPr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To Business Associate Agreements (Management) to</w:t>
      </w:r>
    </w:p>
    <w:p w:rsidR="00825D99" w:rsidRPr="00825D99" w:rsidRDefault="00825D99" w:rsidP="00825D99">
      <w:pPr>
        <w:pStyle w:val="ListParagraph"/>
        <w:numPr>
          <w:ilvl w:val="0"/>
          <w:numId w:val="12"/>
        </w:numPr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Helping Providers with the audit process in their organization</w:t>
      </w:r>
    </w:p>
    <w:p w:rsidR="00825D99" w:rsidRDefault="00825D99" w:rsidP="00D71CC9">
      <w:pPr>
        <w:pStyle w:val="ListParagraph"/>
        <w:numPr>
          <w:ilvl w:val="0"/>
          <w:numId w:val="12"/>
        </w:numPr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 xml:space="preserve">She has designed an easy implementation process </w:t>
      </w:r>
    </w:p>
    <w:p w:rsidR="00825D99" w:rsidRPr="00825D99" w:rsidRDefault="00825D99" w:rsidP="00D71CC9">
      <w:pPr>
        <w:pStyle w:val="ListParagraph"/>
        <w:numPr>
          <w:ilvl w:val="0"/>
          <w:numId w:val="12"/>
        </w:numPr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Diane will be looking for our guidance in the materials she has designed.</w:t>
      </w:r>
    </w:p>
    <w:p w:rsidR="00825D99" w:rsidRPr="00825D99" w:rsidRDefault="00825D99" w:rsidP="00825D99">
      <w:pPr>
        <w:pStyle w:val="ListParagraph"/>
        <w:numPr>
          <w:ilvl w:val="0"/>
          <w:numId w:val="12"/>
        </w:numPr>
        <w:rPr>
          <w:rFonts w:ascii="Calibri" w:hAnsi="Calibri"/>
          <w:color w:val="1F497D"/>
          <w:sz w:val="20"/>
          <w:szCs w:val="20"/>
        </w:rPr>
      </w:pPr>
      <w:r w:rsidRPr="00825D99">
        <w:rPr>
          <w:rFonts w:ascii="Calibri" w:hAnsi="Calibri"/>
          <w:color w:val="1F497D"/>
          <w:sz w:val="20"/>
          <w:szCs w:val="20"/>
        </w:rPr>
        <w:t>This presentation is in preparation to an upcoming HIPAA Training she is offering on</w:t>
      </w:r>
      <w:r>
        <w:rPr>
          <w:rFonts w:ascii="Calibri" w:hAnsi="Calibri"/>
          <w:color w:val="1F497D"/>
          <w:sz w:val="20"/>
          <w:szCs w:val="20"/>
        </w:rPr>
        <w:t xml:space="preserve"> 7/26</w:t>
      </w:r>
      <w:r w:rsidRPr="00825D99">
        <w:rPr>
          <w:rFonts w:ascii="Calibri" w:hAnsi="Calibri"/>
          <w:color w:val="1F497D"/>
          <w:sz w:val="20"/>
          <w:szCs w:val="20"/>
        </w:rPr>
        <w:t xml:space="preserve"> </w:t>
      </w:r>
    </w:p>
    <w:p w:rsidR="00825D99" w:rsidRDefault="00825D99" w:rsidP="00825D99">
      <w:pPr>
        <w:pStyle w:val="ListParagraph"/>
        <w:ind w:left="2936"/>
        <w:contextualSpacing w:val="0"/>
        <w:rPr>
          <w:rFonts w:ascii="Calibri" w:hAnsi="Calibri"/>
          <w:color w:val="1F497D"/>
          <w:sz w:val="20"/>
          <w:szCs w:val="20"/>
        </w:rPr>
      </w:pPr>
    </w:p>
    <w:p w:rsidR="00825D99" w:rsidRDefault="00825D99" w:rsidP="00825D99">
      <w:pPr>
        <w:pStyle w:val="ListParagraph"/>
        <w:numPr>
          <w:ilvl w:val="0"/>
          <w:numId w:val="10"/>
        </w:numPr>
        <w:rPr>
          <w:rFonts w:ascii="Calibri" w:hAnsi="Calibri"/>
          <w:b/>
          <w:color w:val="1F497D"/>
          <w:sz w:val="20"/>
          <w:szCs w:val="20"/>
          <w:u w:val="single"/>
        </w:rPr>
      </w:pPr>
      <w:r w:rsidRPr="00825D99">
        <w:rPr>
          <w:rFonts w:ascii="Calibri" w:hAnsi="Calibri"/>
          <w:b/>
          <w:color w:val="1F497D"/>
          <w:sz w:val="20"/>
          <w:szCs w:val="20"/>
          <w:u w:val="single"/>
        </w:rPr>
        <w:t>Medicaid/Licensure surveys</w:t>
      </w:r>
    </w:p>
    <w:p w:rsidR="00825D99" w:rsidRPr="00825D99" w:rsidRDefault="00825D99" w:rsidP="00825D99">
      <w:pPr>
        <w:pStyle w:val="ListParagraph"/>
        <w:rPr>
          <w:rFonts w:ascii="Calibri" w:hAnsi="Calibri"/>
          <w:b/>
          <w:color w:val="1F497D"/>
          <w:sz w:val="20"/>
          <w:szCs w:val="20"/>
          <w:u w:val="single"/>
        </w:rPr>
      </w:pPr>
    </w:p>
    <w:p w:rsidR="00825D99" w:rsidRPr="00950A80" w:rsidRDefault="00825D99" w:rsidP="00950A80">
      <w:pPr>
        <w:pStyle w:val="ListParagraph"/>
        <w:numPr>
          <w:ilvl w:val="0"/>
          <w:numId w:val="10"/>
        </w:numPr>
        <w:rPr>
          <w:rFonts w:ascii="Calibri" w:hAnsi="Calibri"/>
          <w:color w:val="1F497D"/>
          <w:sz w:val="20"/>
          <w:szCs w:val="20"/>
        </w:rPr>
      </w:pPr>
      <w:r w:rsidRPr="00950A80">
        <w:rPr>
          <w:rFonts w:ascii="Calibri" w:hAnsi="Calibri"/>
          <w:b/>
          <w:color w:val="1F497D"/>
          <w:sz w:val="20"/>
          <w:szCs w:val="20"/>
          <w:u w:val="single"/>
        </w:rPr>
        <w:t>Fall Conference</w:t>
      </w:r>
      <w:r w:rsidRPr="00950A80">
        <w:rPr>
          <w:rFonts w:ascii="Calibri" w:hAnsi="Calibri"/>
          <w:b/>
          <w:color w:val="1F497D"/>
          <w:sz w:val="20"/>
          <w:szCs w:val="20"/>
          <w:u w:val="single"/>
        </w:rPr>
        <w:t>:</w:t>
      </w:r>
      <w:r w:rsidRPr="00950A80">
        <w:rPr>
          <w:rFonts w:ascii="Calibri" w:hAnsi="Calibri"/>
          <w:color w:val="1F497D"/>
          <w:sz w:val="20"/>
          <w:szCs w:val="20"/>
        </w:rPr>
        <w:t xml:space="preserve">  </w:t>
      </w:r>
      <w:r w:rsidRPr="00950A80">
        <w:rPr>
          <w:rFonts w:ascii="Calibri" w:hAnsi="Calibri"/>
          <w:color w:val="1F497D"/>
          <w:sz w:val="20"/>
          <w:szCs w:val="20"/>
        </w:rPr>
        <w:t>Topics/Review</w:t>
      </w:r>
      <w:r w:rsidRPr="00950A80">
        <w:rPr>
          <w:rFonts w:ascii="Calibri" w:hAnsi="Calibri"/>
          <w:color w:val="1F497D"/>
          <w:sz w:val="20"/>
          <w:szCs w:val="20"/>
        </w:rPr>
        <w:t>/Discussion</w:t>
      </w:r>
    </w:p>
    <w:p w:rsidR="00825D99" w:rsidRPr="00825D99" w:rsidRDefault="00825D99" w:rsidP="00825D99">
      <w:pPr>
        <w:pStyle w:val="ListParagraph"/>
        <w:rPr>
          <w:rFonts w:ascii="Calibri" w:hAnsi="Calibri"/>
          <w:color w:val="1F497D"/>
          <w:sz w:val="20"/>
          <w:szCs w:val="20"/>
        </w:rPr>
      </w:pPr>
    </w:p>
    <w:p w:rsidR="00825D99" w:rsidRPr="00950A80" w:rsidRDefault="00825D99" w:rsidP="00825D99">
      <w:pPr>
        <w:ind w:firstLine="360"/>
        <w:rPr>
          <w:rFonts w:ascii="Calibri" w:hAnsi="Calibri"/>
          <w:b/>
          <w:color w:val="1F497D"/>
          <w:sz w:val="20"/>
          <w:szCs w:val="20"/>
          <w:u w:val="single"/>
        </w:rPr>
      </w:pPr>
      <w:r>
        <w:rPr>
          <w:rFonts w:ascii="Calibri" w:hAnsi="Calibri"/>
          <w:color w:val="1F497D"/>
          <w:sz w:val="20"/>
          <w:szCs w:val="20"/>
        </w:rPr>
        <w:t>5</w:t>
      </w:r>
      <w:r w:rsidRPr="00825D99">
        <w:rPr>
          <w:rFonts w:ascii="Calibri" w:hAnsi="Calibri"/>
          <w:color w:val="1F497D"/>
          <w:sz w:val="20"/>
          <w:szCs w:val="20"/>
        </w:rPr>
        <w:t xml:space="preserve">. </w:t>
      </w:r>
      <w:r w:rsidR="00950A80">
        <w:rPr>
          <w:rFonts w:ascii="Calibri" w:hAnsi="Calibri"/>
          <w:color w:val="1F497D"/>
          <w:sz w:val="20"/>
          <w:szCs w:val="20"/>
        </w:rPr>
        <w:tab/>
      </w:r>
      <w:r w:rsidRPr="00950A80">
        <w:rPr>
          <w:rFonts w:ascii="Calibri" w:hAnsi="Calibri"/>
          <w:b/>
          <w:color w:val="1F497D"/>
          <w:sz w:val="20"/>
          <w:szCs w:val="20"/>
          <w:u w:val="single"/>
        </w:rPr>
        <w:t>S</w:t>
      </w:r>
      <w:r w:rsidRPr="00950A80">
        <w:rPr>
          <w:rFonts w:ascii="Calibri" w:hAnsi="Calibri"/>
          <w:b/>
          <w:color w:val="1F497D"/>
          <w:sz w:val="20"/>
          <w:szCs w:val="20"/>
          <w:u w:val="single"/>
        </w:rPr>
        <w:t>taffing/Shift Differentials</w:t>
      </w:r>
    </w:p>
    <w:p w:rsidR="00825D99" w:rsidRDefault="00825D99" w:rsidP="00825D99">
      <w:pPr>
        <w:pStyle w:val="ListParagraph"/>
        <w:ind w:left="3656"/>
        <w:rPr>
          <w:rFonts w:ascii="Calibri" w:hAnsi="Calibri"/>
          <w:color w:val="1F497D"/>
          <w:sz w:val="20"/>
          <w:szCs w:val="20"/>
        </w:rPr>
      </w:pPr>
    </w:p>
    <w:p w:rsidR="007F7F09" w:rsidRDefault="007F7F09" w:rsidP="00825D99">
      <w:pPr>
        <w:pStyle w:val="ListParagraph"/>
        <w:ind w:left="3656"/>
        <w:rPr>
          <w:rFonts w:ascii="Calibri" w:hAnsi="Calibri"/>
          <w:color w:val="1F497D"/>
          <w:sz w:val="20"/>
          <w:szCs w:val="20"/>
        </w:rPr>
      </w:pPr>
    </w:p>
    <w:p w:rsidR="007F7F09" w:rsidRPr="00755AB3" w:rsidRDefault="007F7F09" w:rsidP="007F7F09">
      <w:pPr>
        <w:rPr>
          <w:rFonts w:ascii="Calibri" w:hAnsi="Calibri"/>
          <w:b/>
          <w:color w:val="4F81BD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There is heavy construction on G</w:t>
      </w:r>
      <w:r w:rsidRPr="00755AB3">
        <w:rPr>
          <w:rFonts w:ascii="Calibri" w:hAnsi="Calibri"/>
          <w:b/>
          <w:sz w:val="22"/>
          <w:szCs w:val="22"/>
        </w:rPr>
        <w:t xml:space="preserve">oodale Blvd. </w:t>
      </w:r>
      <w:r>
        <w:rPr>
          <w:rFonts w:ascii="Calibri" w:hAnsi="Calibri"/>
          <w:b/>
          <w:sz w:val="22"/>
          <w:szCs w:val="22"/>
        </w:rPr>
        <w:t xml:space="preserve">Parking directly on Goodale is currently prohibited. </w:t>
      </w:r>
      <w:r w:rsidRPr="00755AB3">
        <w:rPr>
          <w:rFonts w:ascii="Calibri" w:hAnsi="Calibri"/>
          <w:b/>
          <w:sz w:val="22"/>
          <w:szCs w:val="22"/>
        </w:rPr>
        <w:t>There is parking at the side of the building and in the back next to the building/across the alley. There is also free, on street parking</w:t>
      </w:r>
      <w:r>
        <w:rPr>
          <w:rFonts w:ascii="Calibri" w:hAnsi="Calibri"/>
          <w:b/>
          <w:sz w:val="22"/>
          <w:szCs w:val="22"/>
        </w:rPr>
        <w:t xml:space="preserve"> on </w:t>
      </w:r>
      <w:r>
        <w:rPr>
          <w:rFonts w:ascii="Calibri" w:hAnsi="Calibri"/>
          <w:b/>
          <w:i/>
          <w:sz w:val="22"/>
          <w:szCs w:val="22"/>
        </w:rPr>
        <w:t xml:space="preserve">some </w:t>
      </w:r>
      <w:r w:rsidRPr="007F7F09">
        <w:rPr>
          <w:rFonts w:ascii="Calibri" w:hAnsi="Calibri"/>
          <w:b/>
          <w:sz w:val="22"/>
          <w:szCs w:val="22"/>
        </w:rPr>
        <w:t>side streets</w:t>
      </w:r>
      <w:r w:rsidRPr="00755AB3">
        <w:rPr>
          <w:rFonts w:ascii="Calibri" w:hAnsi="Calibri"/>
          <w:b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>Parking is prohibited in the Guardian Water and Power lot on the west side of the OPRA building.</w:t>
      </w:r>
    </w:p>
    <w:p w:rsidR="007F7F09" w:rsidRPr="00755AB3" w:rsidRDefault="007F7F09" w:rsidP="007F7F09">
      <w:pPr>
        <w:rPr>
          <w:rFonts w:ascii="Calibri" w:hAnsi="Calibri"/>
          <w:b/>
          <w:color w:val="4F81BD"/>
          <w:sz w:val="22"/>
          <w:szCs w:val="22"/>
        </w:rPr>
      </w:pPr>
    </w:p>
    <w:p w:rsidR="007F7F09" w:rsidRDefault="007F7F09" w:rsidP="007F7F09">
      <w:pPr>
        <w:rPr>
          <w:rFonts w:ascii="Calibri" w:hAnsi="Calibri"/>
          <w:b/>
          <w:color w:val="4F81BD"/>
          <w:sz w:val="22"/>
          <w:szCs w:val="22"/>
        </w:rPr>
      </w:pPr>
    </w:p>
    <w:p w:rsidR="007F7F09" w:rsidRPr="00825D99" w:rsidRDefault="007F7F09" w:rsidP="007F7F09">
      <w:pPr>
        <w:pStyle w:val="ListParagraph"/>
        <w:ind w:left="3656"/>
        <w:jc w:val="both"/>
        <w:rPr>
          <w:rFonts w:ascii="Calibri" w:hAnsi="Calibri"/>
          <w:color w:val="1F497D"/>
          <w:sz w:val="20"/>
          <w:szCs w:val="20"/>
        </w:rPr>
      </w:pPr>
    </w:p>
    <w:sectPr w:rsidR="007F7F09" w:rsidRPr="00825D99" w:rsidSect="009B3E6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A8" w:rsidRDefault="007123A8" w:rsidP="009B3E63">
      <w:r>
        <w:separator/>
      </w:r>
    </w:p>
  </w:endnote>
  <w:endnote w:type="continuationSeparator" w:id="0">
    <w:p w:rsidR="007123A8" w:rsidRDefault="007123A8" w:rsidP="009B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63" w:rsidRPr="000B3130" w:rsidRDefault="009B3E63" w:rsidP="009B3E63">
    <w:pPr>
      <w:pStyle w:val="Footer"/>
      <w:ind w:left="-720" w:right="-720"/>
      <w:jc w:val="center"/>
      <w:rPr>
        <w:rFonts w:asciiTheme="majorHAnsi" w:hAnsiTheme="majorHAnsi"/>
        <w:color w:val="2E74B5" w:themeColor="accent1" w:themeShade="BF"/>
      </w:rPr>
    </w:pPr>
    <w:r w:rsidRPr="000B3130">
      <w:rPr>
        <w:rFonts w:asciiTheme="majorHAnsi" w:hAnsiTheme="majorHAnsi"/>
        <w:b/>
        <w:color w:val="2E74B5" w:themeColor="accent1" w:themeShade="BF"/>
        <w:sz w:val="20"/>
        <w:szCs w:val="20"/>
      </w:rPr>
      <w:t>800-686-5523  •  614-224-6772  •  Fax 614-224-3340  •  1152 Goodale Blvd  •  Columbus, OH 43212  •  www.opra.org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63" w:rsidRPr="000B3130" w:rsidRDefault="009B3E63" w:rsidP="009B3E63">
    <w:pPr>
      <w:pStyle w:val="Footer"/>
      <w:ind w:left="-720" w:right="-720"/>
      <w:jc w:val="center"/>
      <w:rPr>
        <w:rFonts w:asciiTheme="majorHAnsi" w:hAnsiTheme="majorHAnsi"/>
        <w:color w:val="9CC2E5" w:themeColor="accent1" w:themeTint="99"/>
      </w:rPr>
    </w:pPr>
    <w:r w:rsidRPr="000B3130">
      <w:rPr>
        <w:rFonts w:asciiTheme="majorHAnsi" w:hAnsiTheme="majorHAnsi"/>
        <w:b/>
        <w:color w:val="2E74B5" w:themeColor="accent1" w:themeShade="BF"/>
        <w:sz w:val="20"/>
        <w:szCs w:val="20"/>
      </w:rPr>
      <w:t>800-686-5523  •  614-224-6772  •  Fax 614-224-3340  •  1152 Goodale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A8" w:rsidRDefault="007123A8" w:rsidP="009B3E63">
      <w:r>
        <w:separator/>
      </w:r>
    </w:p>
  </w:footnote>
  <w:footnote w:type="continuationSeparator" w:id="0">
    <w:p w:rsidR="007123A8" w:rsidRDefault="007123A8" w:rsidP="009B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63" w:rsidRDefault="009B3E63">
    <w:pPr>
      <w:pStyle w:val="Header"/>
    </w:pPr>
    <w:r w:rsidRPr="00B848A7">
      <w:rPr>
        <w:noProof/>
      </w:rPr>
      <w:drawing>
        <wp:anchor distT="0" distB="0" distL="114300" distR="114300" simplePos="0" relativeHeight="251659264" behindDoc="0" locked="0" layoutInCell="1" allowOverlap="1" wp14:anchorId="61296621" wp14:editId="0C3FE37F">
          <wp:simplePos x="0" y="0"/>
          <wp:positionH relativeFrom="margin">
            <wp:posOffset>-161925</wp:posOffset>
          </wp:positionH>
          <wp:positionV relativeFrom="page">
            <wp:posOffset>619125</wp:posOffset>
          </wp:positionV>
          <wp:extent cx="1638300" cy="904875"/>
          <wp:effectExtent l="0" t="0" r="0" b="9525"/>
          <wp:wrapNone/>
          <wp:docPr id="11" name="Picture 0" descr="OPRA Logo with Dots 12-02-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with Dots 12-02-20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1E0"/>
    <w:multiLevelType w:val="hybridMultilevel"/>
    <w:tmpl w:val="A3A44AD6"/>
    <w:lvl w:ilvl="0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1" w15:restartNumberingAfterBreak="0">
    <w:nsid w:val="1CB510C9"/>
    <w:multiLevelType w:val="hybridMultilevel"/>
    <w:tmpl w:val="734C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B4489"/>
    <w:multiLevelType w:val="hybridMultilevel"/>
    <w:tmpl w:val="F2B6D758"/>
    <w:lvl w:ilvl="0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3" w15:restartNumberingAfterBreak="0">
    <w:nsid w:val="2C3B20A9"/>
    <w:multiLevelType w:val="hybridMultilevel"/>
    <w:tmpl w:val="305478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A058D"/>
    <w:multiLevelType w:val="hybridMultilevel"/>
    <w:tmpl w:val="89F61936"/>
    <w:lvl w:ilvl="0" w:tplc="489258FE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0" w:hanging="360"/>
      </w:pPr>
    </w:lvl>
    <w:lvl w:ilvl="2" w:tplc="0409001B" w:tentative="1">
      <w:start w:val="1"/>
      <w:numFmt w:val="lowerRoman"/>
      <w:lvlText w:val="%3."/>
      <w:lvlJc w:val="right"/>
      <w:pPr>
        <w:ind w:left="3710" w:hanging="180"/>
      </w:pPr>
    </w:lvl>
    <w:lvl w:ilvl="3" w:tplc="0409000F" w:tentative="1">
      <w:start w:val="1"/>
      <w:numFmt w:val="decimal"/>
      <w:lvlText w:val="%4."/>
      <w:lvlJc w:val="left"/>
      <w:pPr>
        <w:ind w:left="4430" w:hanging="360"/>
      </w:pPr>
    </w:lvl>
    <w:lvl w:ilvl="4" w:tplc="04090019" w:tentative="1">
      <w:start w:val="1"/>
      <w:numFmt w:val="lowerLetter"/>
      <w:lvlText w:val="%5."/>
      <w:lvlJc w:val="left"/>
      <w:pPr>
        <w:ind w:left="5150" w:hanging="360"/>
      </w:pPr>
    </w:lvl>
    <w:lvl w:ilvl="5" w:tplc="0409001B" w:tentative="1">
      <w:start w:val="1"/>
      <w:numFmt w:val="lowerRoman"/>
      <w:lvlText w:val="%6."/>
      <w:lvlJc w:val="right"/>
      <w:pPr>
        <w:ind w:left="5870" w:hanging="180"/>
      </w:pPr>
    </w:lvl>
    <w:lvl w:ilvl="6" w:tplc="0409000F" w:tentative="1">
      <w:start w:val="1"/>
      <w:numFmt w:val="decimal"/>
      <w:lvlText w:val="%7."/>
      <w:lvlJc w:val="left"/>
      <w:pPr>
        <w:ind w:left="6590" w:hanging="360"/>
      </w:pPr>
    </w:lvl>
    <w:lvl w:ilvl="7" w:tplc="04090019" w:tentative="1">
      <w:start w:val="1"/>
      <w:numFmt w:val="lowerLetter"/>
      <w:lvlText w:val="%8."/>
      <w:lvlJc w:val="left"/>
      <w:pPr>
        <w:ind w:left="7310" w:hanging="360"/>
      </w:pPr>
    </w:lvl>
    <w:lvl w:ilvl="8" w:tplc="040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5" w15:restartNumberingAfterBreak="0">
    <w:nsid w:val="35A5303A"/>
    <w:multiLevelType w:val="hybridMultilevel"/>
    <w:tmpl w:val="3C7A9DE8"/>
    <w:lvl w:ilvl="0" w:tplc="F73A2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CD1976"/>
    <w:multiLevelType w:val="hybridMultilevel"/>
    <w:tmpl w:val="7950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E1B"/>
    <w:multiLevelType w:val="hybridMultilevel"/>
    <w:tmpl w:val="DF5E994A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8" w15:restartNumberingAfterBreak="0">
    <w:nsid w:val="6B73579E"/>
    <w:multiLevelType w:val="hybridMultilevel"/>
    <w:tmpl w:val="147ADF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DAC1C4F"/>
    <w:multiLevelType w:val="hybridMultilevel"/>
    <w:tmpl w:val="E674B30A"/>
    <w:lvl w:ilvl="0" w:tplc="21BEF328">
      <w:start w:val="1"/>
      <w:numFmt w:val="decimal"/>
      <w:lvlText w:val="%1&gt;"/>
      <w:lvlJc w:val="left"/>
      <w:pPr>
        <w:ind w:left="2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0" w:hanging="360"/>
      </w:pPr>
    </w:lvl>
    <w:lvl w:ilvl="2" w:tplc="0409001B" w:tentative="1">
      <w:start w:val="1"/>
      <w:numFmt w:val="lowerRoman"/>
      <w:lvlText w:val="%3."/>
      <w:lvlJc w:val="right"/>
      <w:pPr>
        <w:ind w:left="3710" w:hanging="180"/>
      </w:pPr>
    </w:lvl>
    <w:lvl w:ilvl="3" w:tplc="0409000F" w:tentative="1">
      <w:start w:val="1"/>
      <w:numFmt w:val="decimal"/>
      <w:lvlText w:val="%4."/>
      <w:lvlJc w:val="left"/>
      <w:pPr>
        <w:ind w:left="4430" w:hanging="360"/>
      </w:pPr>
    </w:lvl>
    <w:lvl w:ilvl="4" w:tplc="04090019" w:tentative="1">
      <w:start w:val="1"/>
      <w:numFmt w:val="lowerLetter"/>
      <w:lvlText w:val="%5."/>
      <w:lvlJc w:val="left"/>
      <w:pPr>
        <w:ind w:left="5150" w:hanging="360"/>
      </w:pPr>
    </w:lvl>
    <w:lvl w:ilvl="5" w:tplc="0409001B" w:tentative="1">
      <w:start w:val="1"/>
      <w:numFmt w:val="lowerRoman"/>
      <w:lvlText w:val="%6."/>
      <w:lvlJc w:val="right"/>
      <w:pPr>
        <w:ind w:left="5870" w:hanging="180"/>
      </w:pPr>
    </w:lvl>
    <w:lvl w:ilvl="6" w:tplc="0409000F" w:tentative="1">
      <w:start w:val="1"/>
      <w:numFmt w:val="decimal"/>
      <w:lvlText w:val="%7."/>
      <w:lvlJc w:val="left"/>
      <w:pPr>
        <w:ind w:left="6590" w:hanging="360"/>
      </w:pPr>
    </w:lvl>
    <w:lvl w:ilvl="7" w:tplc="04090019" w:tentative="1">
      <w:start w:val="1"/>
      <w:numFmt w:val="lowerLetter"/>
      <w:lvlText w:val="%8."/>
      <w:lvlJc w:val="left"/>
      <w:pPr>
        <w:ind w:left="7310" w:hanging="360"/>
      </w:pPr>
    </w:lvl>
    <w:lvl w:ilvl="8" w:tplc="040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0" w15:restartNumberingAfterBreak="0">
    <w:nsid w:val="73012EB3"/>
    <w:multiLevelType w:val="hybridMultilevel"/>
    <w:tmpl w:val="90A8EC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63"/>
    <w:rsid w:val="000B3130"/>
    <w:rsid w:val="00210BFC"/>
    <w:rsid w:val="006620EE"/>
    <w:rsid w:val="007123A8"/>
    <w:rsid w:val="007176F5"/>
    <w:rsid w:val="00762A39"/>
    <w:rsid w:val="007F7F09"/>
    <w:rsid w:val="00815221"/>
    <w:rsid w:val="00825D99"/>
    <w:rsid w:val="00950A80"/>
    <w:rsid w:val="009B3E63"/>
    <w:rsid w:val="00D44229"/>
    <w:rsid w:val="00D969C1"/>
    <w:rsid w:val="00E17D63"/>
    <w:rsid w:val="00F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8E452-B959-4FCB-887C-00F9C161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63"/>
  </w:style>
  <w:style w:type="paragraph" w:styleId="Footer">
    <w:name w:val="footer"/>
    <w:basedOn w:val="Normal"/>
    <w:link w:val="FooterChar"/>
    <w:uiPriority w:val="99"/>
    <w:unhideWhenUsed/>
    <w:rsid w:val="009B3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63"/>
  </w:style>
  <w:style w:type="paragraph" w:styleId="ListParagraph">
    <w:name w:val="List Paragraph"/>
    <w:basedOn w:val="Normal"/>
    <w:uiPriority w:val="34"/>
    <w:qFormat/>
    <w:rsid w:val="00D4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Temporary Personnel 2</dc:creator>
  <cp:keywords/>
  <dc:description/>
  <cp:lastModifiedBy>Anita Allen</cp:lastModifiedBy>
  <cp:revision>3</cp:revision>
  <dcterms:created xsi:type="dcterms:W3CDTF">2017-07-05T20:10:00Z</dcterms:created>
  <dcterms:modified xsi:type="dcterms:W3CDTF">2017-07-05T20:13:00Z</dcterms:modified>
</cp:coreProperties>
</file>