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B2" w:rsidRDefault="00E47BB2" w:rsidP="00730CE0">
      <w:pPr>
        <w:rPr>
          <w:rFonts w:asciiTheme="majorHAnsi" w:hAnsiTheme="majorHAnsi"/>
        </w:rPr>
      </w:pPr>
    </w:p>
    <w:p w:rsidR="00440E87" w:rsidRDefault="00440E87" w:rsidP="00730CE0">
      <w:pPr>
        <w:rPr>
          <w:rFonts w:asciiTheme="majorHAnsi" w:hAnsiTheme="majorHAnsi"/>
        </w:rPr>
      </w:pPr>
    </w:p>
    <w:p w:rsidR="00440E87" w:rsidRPr="00005901" w:rsidRDefault="00440E87" w:rsidP="00440E87">
      <w:pPr>
        <w:jc w:val="center"/>
        <w:rPr>
          <w:rFonts w:asciiTheme="majorHAnsi" w:hAnsiTheme="majorHAnsi"/>
          <w:b/>
        </w:rPr>
      </w:pPr>
      <w:r w:rsidRPr="00005901">
        <w:rPr>
          <w:rFonts w:asciiTheme="majorHAnsi" w:hAnsiTheme="majorHAnsi"/>
          <w:b/>
        </w:rPr>
        <w:t>Board Update on Member Concerns</w:t>
      </w:r>
    </w:p>
    <w:p w:rsidR="00997A92" w:rsidRPr="00005901" w:rsidRDefault="00997A92" w:rsidP="00440E87">
      <w:pPr>
        <w:jc w:val="center"/>
        <w:rPr>
          <w:rFonts w:asciiTheme="majorHAnsi" w:hAnsiTheme="majorHAnsi"/>
          <w:b/>
        </w:rPr>
      </w:pPr>
      <w:r w:rsidRPr="00005901">
        <w:rPr>
          <w:rFonts w:asciiTheme="majorHAnsi" w:hAnsiTheme="majorHAnsi"/>
          <w:b/>
        </w:rPr>
        <w:t>February 2014</w:t>
      </w:r>
    </w:p>
    <w:p w:rsidR="00997A92" w:rsidRDefault="00997A92" w:rsidP="00440E87">
      <w:pPr>
        <w:jc w:val="center"/>
        <w:rPr>
          <w:rFonts w:asciiTheme="majorHAnsi" w:hAnsiTheme="majorHAnsi"/>
        </w:rPr>
      </w:pPr>
    </w:p>
    <w:p w:rsidR="00997A92" w:rsidRDefault="00997A92" w:rsidP="00440E87">
      <w:pPr>
        <w:jc w:val="center"/>
        <w:rPr>
          <w:rFonts w:asciiTheme="majorHAnsi" w:hAnsiTheme="majorHAnsi"/>
        </w:rPr>
      </w:pPr>
    </w:p>
    <w:p w:rsidR="00997A92" w:rsidRPr="00997A92" w:rsidRDefault="00997A92" w:rsidP="00997A92">
      <w:pPr>
        <w:rPr>
          <w:rFonts w:asciiTheme="majorHAnsi" w:hAnsiTheme="majorHAnsi"/>
          <w:b/>
        </w:rPr>
      </w:pPr>
      <w:r w:rsidRPr="00997A92">
        <w:rPr>
          <w:rFonts w:asciiTheme="majorHAnsi" w:hAnsiTheme="majorHAnsi"/>
          <w:b/>
        </w:rPr>
        <w:t>Medication Administration and Delegation</w:t>
      </w:r>
    </w:p>
    <w:p w:rsidR="00997A92" w:rsidRPr="00997A92" w:rsidRDefault="00997A92" w:rsidP="00997A92">
      <w:pPr>
        <w:pStyle w:val="ListParagraph"/>
        <w:numPr>
          <w:ilvl w:val="0"/>
          <w:numId w:val="4"/>
        </w:numPr>
        <w:rPr>
          <w:rFonts w:asciiTheme="majorHAnsi" w:hAnsiTheme="majorHAnsi"/>
        </w:rPr>
      </w:pPr>
      <w:r>
        <w:rPr>
          <w:rFonts w:asciiTheme="majorHAnsi" w:hAnsiTheme="majorHAnsi"/>
        </w:rPr>
        <w:t xml:space="preserve">Doctor’s order “requirement” for sunscreen, lip balm, dandruff shampoo, etc.: </w:t>
      </w:r>
      <w:r>
        <w:rPr>
          <w:rFonts w:asciiTheme="majorHAnsi" w:hAnsiTheme="majorHAnsi"/>
          <w:color w:val="0070C0"/>
        </w:rPr>
        <w:t>DODD agreed to write a clarifying memo to the field in October. OPRA followed up in February inquiring as to the status of this memo.</w:t>
      </w:r>
    </w:p>
    <w:p w:rsidR="00997A92" w:rsidRPr="00ED72E8" w:rsidRDefault="00997A92" w:rsidP="00997A92">
      <w:pPr>
        <w:pStyle w:val="ListParagraph"/>
        <w:numPr>
          <w:ilvl w:val="0"/>
          <w:numId w:val="4"/>
        </w:numPr>
        <w:rPr>
          <w:rFonts w:asciiTheme="majorHAnsi" w:hAnsiTheme="majorHAnsi"/>
        </w:rPr>
      </w:pPr>
      <w:r>
        <w:rPr>
          <w:rFonts w:asciiTheme="majorHAnsi" w:hAnsiTheme="majorHAnsi"/>
        </w:rPr>
        <w:t xml:space="preserve">Back ground check requirement for participation in medication administration classes differs from hiring requirement: </w:t>
      </w:r>
      <w:r>
        <w:rPr>
          <w:rFonts w:asciiTheme="majorHAnsi" w:hAnsiTheme="majorHAnsi"/>
          <w:color w:val="0070C0"/>
        </w:rPr>
        <w:t>Have communicated concerns to Kate Haller and Janet Winterstein. They have not changed thei</w:t>
      </w:r>
      <w:r w:rsidR="00433ADA">
        <w:rPr>
          <w:rFonts w:asciiTheme="majorHAnsi" w:hAnsiTheme="majorHAnsi"/>
          <w:color w:val="0070C0"/>
        </w:rPr>
        <w:t>r position, apparently to avoid lengthy and costly revocations which need to be conducted via BON requirements. Next step</w:t>
      </w:r>
      <w:r w:rsidR="00ED72E8">
        <w:rPr>
          <w:rFonts w:asciiTheme="majorHAnsi" w:hAnsiTheme="majorHAnsi"/>
          <w:color w:val="0070C0"/>
        </w:rPr>
        <w:t xml:space="preserve"> for consideration</w:t>
      </w:r>
      <w:r w:rsidR="00433ADA">
        <w:rPr>
          <w:rFonts w:asciiTheme="majorHAnsi" w:hAnsiTheme="majorHAnsi"/>
          <w:color w:val="0070C0"/>
        </w:rPr>
        <w:t xml:space="preserve">: </w:t>
      </w:r>
      <w:r w:rsidR="00ED72E8">
        <w:rPr>
          <w:rFonts w:asciiTheme="majorHAnsi" w:hAnsiTheme="majorHAnsi"/>
          <w:color w:val="0070C0"/>
        </w:rPr>
        <w:t xml:space="preserve"> Request approval of pre-medication admin course sign off sheet where staff indicate understanding that if BCII excludes them from med passing, they will not receive the certification. This would allow staff to begin classes prior to return of BCII which has been fairly common practice.</w:t>
      </w:r>
    </w:p>
    <w:p w:rsidR="00ED72E8" w:rsidRPr="00ED72E8" w:rsidRDefault="00ED72E8" w:rsidP="00997A92">
      <w:pPr>
        <w:pStyle w:val="ListParagraph"/>
        <w:numPr>
          <w:ilvl w:val="0"/>
          <w:numId w:val="4"/>
        </w:numPr>
        <w:rPr>
          <w:rFonts w:asciiTheme="majorHAnsi" w:hAnsiTheme="majorHAnsi"/>
        </w:rPr>
      </w:pPr>
      <w:r>
        <w:rPr>
          <w:rFonts w:asciiTheme="majorHAnsi" w:hAnsiTheme="majorHAnsi"/>
        </w:rPr>
        <w:t xml:space="preserve">MAIS issues: </w:t>
      </w:r>
      <w:r>
        <w:rPr>
          <w:rFonts w:asciiTheme="majorHAnsi" w:hAnsiTheme="majorHAnsi"/>
          <w:color w:val="0070C0"/>
        </w:rPr>
        <w:t>Individual staff email issue has been addressed. Other issue re: time required for data entry. This seems to have settled down as providers learn the new system. Is this your experience?</w:t>
      </w:r>
    </w:p>
    <w:p w:rsidR="00ED72E8" w:rsidRDefault="00ED72E8" w:rsidP="00ED72E8">
      <w:pPr>
        <w:rPr>
          <w:rFonts w:asciiTheme="majorHAnsi" w:hAnsiTheme="majorHAnsi"/>
        </w:rPr>
      </w:pPr>
    </w:p>
    <w:p w:rsidR="00ED72E8" w:rsidRDefault="00ED72E8" w:rsidP="00ED72E8">
      <w:pPr>
        <w:rPr>
          <w:rFonts w:asciiTheme="majorHAnsi" w:hAnsiTheme="majorHAnsi"/>
          <w:b/>
        </w:rPr>
      </w:pPr>
      <w:r>
        <w:rPr>
          <w:rFonts w:asciiTheme="majorHAnsi" w:hAnsiTheme="majorHAnsi"/>
          <w:b/>
        </w:rPr>
        <w:t>POC’s Being Returned Numerous Times for Insignificant Issues</w:t>
      </w:r>
    </w:p>
    <w:p w:rsidR="00ED72E8" w:rsidRDefault="00ED72E8" w:rsidP="00ED72E8">
      <w:pPr>
        <w:ind w:left="705"/>
        <w:rPr>
          <w:rFonts w:asciiTheme="majorHAnsi" w:hAnsiTheme="majorHAnsi"/>
          <w:color w:val="0070C0"/>
        </w:rPr>
      </w:pPr>
      <w:r>
        <w:rPr>
          <w:rFonts w:asciiTheme="majorHAnsi" w:hAnsiTheme="majorHAnsi"/>
          <w:color w:val="0070C0"/>
        </w:rPr>
        <w:t>We shared this concern with Kelly Miller and Kate Haller. Have not heard further complaints. Need feedback.</w:t>
      </w:r>
    </w:p>
    <w:p w:rsidR="00ED72E8" w:rsidRDefault="00ED72E8" w:rsidP="00ED72E8">
      <w:pPr>
        <w:ind w:left="705"/>
        <w:rPr>
          <w:rFonts w:asciiTheme="majorHAnsi" w:hAnsiTheme="majorHAnsi"/>
          <w:color w:val="0070C0"/>
        </w:rPr>
      </w:pPr>
    </w:p>
    <w:p w:rsidR="00ED72E8" w:rsidRDefault="00ED72E8" w:rsidP="00ED72E8">
      <w:pPr>
        <w:rPr>
          <w:rFonts w:asciiTheme="majorHAnsi" w:hAnsiTheme="majorHAnsi"/>
          <w:b/>
        </w:rPr>
      </w:pPr>
      <w:r>
        <w:rPr>
          <w:rFonts w:asciiTheme="majorHAnsi" w:hAnsiTheme="majorHAnsi"/>
          <w:b/>
        </w:rPr>
        <w:t>Inconsistency of Practice with Behavior Support Committees</w:t>
      </w:r>
    </w:p>
    <w:p w:rsidR="00ED72E8" w:rsidRDefault="00155FAF" w:rsidP="00155FAF">
      <w:pPr>
        <w:ind w:left="720"/>
        <w:rPr>
          <w:rFonts w:asciiTheme="majorHAnsi" w:hAnsiTheme="majorHAnsi"/>
          <w:color w:val="0070C0"/>
        </w:rPr>
      </w:pPr>
      <w:r>
        <w:rPr>
          <w:rFonts w:asciiTheme="majorHAnsi" w:hAnsiTheme="majorHAnsi"/>
          <w:color w:val="0070C0"/>
        </w:rPr>
        <w:t>This issue is being addressed in the drafting of the behavior support rule. (</w:t>
      </w:r>
      <w:r w:rsidR="00005901">
        <w:rPr>
          <w:rFonts w:asciiTheme="majorHAnsi" w:hAnsiTheme="majorHAnsi"/>
          <w:color w:val="0070C0"/>
        </w:rPr>
        <w:t>See</w:t>
      </w:r>
      <w:r>
        <w:rPr>
          <w:rFonts w:asciiTheme="majorHAnsi" w:hAnsiTheme="majorHAnsi"/>
          <w:color w:val="0070C0"/>
        </w:rPr>
        <w:t xml:space="preserve"> attached OPRA comments)</w:t>
      </w:r>
    </w:p>
    <w:p w:rsidR="00005901" w:rsidRDefault="00005901" w:rsidP="00005901">
      <w:pPr>
        <w:rPr>
          <w:rFonts w:asciiTheme="majorHAnsi" w:hAnsiTheme="majorHAnsi"/>
          <w:color w:val="0070C0"/>
        </w:rPr>
      </w:pPr>
    </w:p>
    <w:p w:rsidR="00005901" w:rsidRPr="00335576" w:rsidRDefault="00335576" w:rsidP="00005901">
      <w:pPr>
        <w:rPr>
          <w:rFonts w:asciiTheme="majorHAnsi" w:hAnsiTheme="majorHAnsi"/>
          <w:b/>
        </w:rPr>
      </w:pPr>
      <w:r w:rsidRPr="00335576">
        <w:rPr>
          <w:rFonts w:asciiTheme="majorHAnsi" w:hAnsiTheme="majorHAnsi"/>
          <w:b/>
        </w:rPr>
        <w:t>“High Concept” Mandated Staff Training</w:t>
      </w:r>
    </w:p>
    <w:p w:rsidR="00440E87" w:rsidRDefault="00335576" w:rsidP="00335576">
      <w:pPr>
        <w:rPr>
          <w:rFonts w:asciiTheme="majorHAnsi" w:hAnsiTheme="majorHAnsi"/>
          <w:color w:val="0070C0"/>
        </w:rPr>
      </w:pPr>
      <w:r>
        <w:rPr>
          <w:rFonts w:asciiTheme="majorHAnsi" w:hAnsiTheme="majorHAnsi"/>
          <w:color w:val="0070C0"/>
        </w:rPr>
        <w:tab/>
        <w:t>Had meeting scheduled with Monty Kerr. He cancelled. Need to reschedule.</w:t>
      </w:r>
    </w:p>
    <w:p w:rsidR="00335576" w:rsidRDefault="00335576" w:rsidP="00335576">
      <w:pPr>
        <w:rPr>
          <w:rFonts w:asciiTheme="majorHAnsi" w:hAnsiTheme="majorHAnsi"/>
          <w:color w:val="0070C0"/>
        </w:rPr>
      </w:pPr>
    </w:p>
    <w:p w:rsidR="00335576" w:rsidRPr="00335576" w:rsidRDefault="00335576" w:rsidP="00335576">
      <w:pPr>
        <w:rPr>
          <w:rFonts w:asciiTheme="majorHAnsi" w:hAnsiTheme="majorHAnsi"/>
          <w:b/>
        </w:rPr>
      </w:pPr>
      <w:r w:rsidRPr="00335576">
        <w:rPr>
          <w:rFonts w:asciiTheme="majorHAnsi" w:hAnsiTheme="majorHAnsi"/>
          <w:b/>
        </w:rPr>
        <w:t xml:space="preserve">Extremely </w:t>
      </w:r>
      <w:r>
        <w:rPr>
          <w:rFonts w:asciiTheme="majorHAnsi" w:hAnsiTheme="majorHAnsi"/>
          <w:b/>
        </w:rPr>
        <w:t>L</w:t>
      </w:r>
      <w:r w:rsidRPr="00335576">
        <w:rPr>
          <w:rFonts w:asciiTheme="majorHAnsi" w:hAnsiTheme="majorHAnsi"/>
          <w:b/>
        </w:rPr>
        <w:t>engthy and Boilerplate ISP’s</w:t>
      </w:r>
    </w:p>
    <w:p w:rsidR="00335576" w:rsidRDefault="00335576" w:rsidP="00335576">
      <w:pPr>
        <w:rPr>
          <w:rFonts w:asciiTheme="majorHAnsi" w:hAnsiTheme="majorHAnsi"/>
          <w:color w:val="0070C0"/>
        </w:rPr>
      </w:pPr>
      <w:r>
        <w:rPr>
          <w:rFonts w:asciiTheme="majorHAnsi" w:hAnsiTheme="majorHAnsi"/>
        </w:rPr>
        <w:tab/>
      </w:r>
      <w:r>
        <w:rPr>
          <w:rFonts w:asciiTheme="majorHAnsi" w:hAnsiTheme="majorHAnsi"/>
          <w:color w:val="0070C0"/>
        </w:rPr>
        <w:t>Same as above.</w:t>
      </w:r>
    </w:p>
    <w:p w:rsidR="00335576" w:rsidRDefault="00335576" w:rsidP="00335576">
      <w:pPr>
        <w:rPr>
          <w:rFonts w:asciiTheme="majorHAnsi" w:hAnsiTheme="majorHAnsi"/>
          <w:color w:val="0070C0"/>
        </w:rPr>
      </w:pPr>
    </w:p>
    <w:p w:rsidR="00335576" w:rsidRDefault="00335576" w:rsidP="00335576">
      <w:pPr>
        <w:rPr>
          <w:rFonts w:asciiTheme="majorHAnsi" w:hAnsiTheme="majorHAnsi"/>
          <w:b/>
        </w:rPr>
      </w:pPr>
      <w:r>
        <w:rPr>
          <w:rFonts w:asciiTheme="majorHAnsi" w:hAnsiTheme="majorHAnsi"/>
          <w:b/>
        </w:rPr>
        <w:t>Cumbersome Provider Certification Renewals and Provider Help Desk Issues</w:t>
      </w:r>
    </w:p>
    <w:p w:rsidR="00335576" w:rsidRDefault="00335576" w:rsidP="00335576">
      <w:pPr>
        <w:ind w:left="720"/>
        <w:rPr>
          <w:rFonts w:asciiTheme="majorHAnsi" w:hAnsiTheme="majorHAnsi"/>
          <w:color w:val="0070C0"/>
        </w:rPr>
      </w:pPr>
      <w:r>
        <w:rPr>
          <w:rFonts w:asciiTheme="majorHAnsi" w:hAnsiTheme="majorHAnsi"/>
          <w:color w:val="0070C0"/>
        </w:rPr>
        <w:t>Met with Patrick Stephan and Kate Haller to discuss concerns. They stated they would address concerns. Have had no further complaints. Need feedback.</w:t>
      </w:r>
    </w:p>
    <w:p w:rsidR="00802C15" w:rsidRDefault="00802C15" w:rsidP="00802C15">
      <w:pPr>
        <w:rPr>
          <w:rFonts w:asciiTheme="majorHAnsi" w:hAnsiTheme="majorHAnsi"/>
          <w:color w:val="0070C0"/>
        </w:rPr>
      </w:pPr>
    </w:p>
    <w:p w:rsidR="00802C15" w:rsidRDefault="00802C15" w:rsidP="00802C15">
      <w:pPr>
        <w:rPr>
          <w:rFonts w:asciiTheme="majorHAnsi" w:hAnsiTheme="majorHAnsi"/>
          <w:b/>
        </w:rPr>
      </w:pPr>
      <w:r>
        <w:rPr>
          <w:rFonts w:asciiTheme="majorHAnsi" w:hAnsiTheme="majorHAnsi"/>
          <w:b/>
        </w:rPr>
        <w:t>Limited Availability of TB Testing @ Local Health Departments</w:t>
      </w:r>
    </w:p>
    <w:p w:rsidR="00802C15" w:rsidRDefault="00802C15" w:rsidP="00802C15">
      <w:pPr>
        <w:rPr>
          <w:rFonts w:asciiTheme="majorHAnsi" w:hAnsiTheme="majorHAnsi"/>
          <w:color w:val="0070C0"/>
        </w:rPr>
      </w:pPr>
      <w:r>
        <w:rPr>
          <w:rFonts w:asciiTheme="majorHAnsi" w:hAnsiTheme="majorHAnsi"/>
          <w:b/>
        </w:rPr>
        <w:tab/>
      </w:r>
      <w:r>
        <w:rPr>
          <w:rFonts w:asciiTheme="majorHAnsi" w:hAnsiTheme="majorHAnsi"/>
          <w:color w:val="0070C0"/>
        </w:rPr>
        <w:t>DODD is aware of the issue. We have not heard any concerns about citations.</w:t>
      </w:r>
    </w:p>
    <w:p w:rsidR="00802C15" w:rsidRDefault="00802C15" w:rsidP="00802C15">
      <w:pPr>
        <w:rPr>
          <w:rFonts w:asciiTheme="majorHAnsi" w:hAnsiTheme="majorHAnsi"/>
          <w:color w:val="0070C0"/>
        </w:rPr>
      </w:pPr>
    </w:p>
    <w:p w:rsidR="00802C15" w:rsidRDefault="00802C15" w:rsidP="00802C15">
      <w:pPr>
        <w:rPr>
          <w:rFonts w:asciiTheme="majorHAnsi" w:hAnsiTheme="majorHAnsi"/>
          <w:b/>
        </w:rPr>
      </w:pPr>
      <w:r>
        <w:rPr>
          <w:rFonts w:asciiTheme="majorHAnsi" w:hAnsiTheme="majorHAnsi"/>
          <w:b/>
        </w:rPr>
        <w:t>MUI Unscheduled Hospitalization Form in Need of Revision</w:t>
      </w:r>
    </w:p>
    <w:p w:rsidR="00802C15" w:rsidRPr="00936F7E" w:rsidRDefault="00802C15" w:rsidP="00802C15">
      <w:pPr>
        <w:rPr>
          <w:rFonts w:asciiTheme="majorHAnsi" w:hAnsiTheme="majorHAnsi"/>
          <w:color w:val="0070C0"/>
        </w:rPr>
      </w:pPr>
      <w:r>
        <w:rPr>
          <w:rFonts w:asciiTheme="majorHAnsi" w:hAnsiTheme="majorHAnsi"/>
          <w:b/>
        </w:rPr>
        <w:tab/>
      </w:r>
      <w:r w:rsidR="00936F7E" w:rsidRPr="00936F7E">
        <w:rPr>
          <w:rFonts w:asciiTheme="majorHAnsi" w:hAnsiTheme="majorHAnsi"/>
          <w:color w:val="0070C0"/>
        </w:rPr>
        <w:t xml:space="preserve">Changes made. </w:t>
      </w:r>
      <w:proofErr w:type="gramStart"/>
      <w:r w:rsidR="00936F7E" w:rsidRPr="00936F7E">
        <w:rPr>
          <w:rFonts w:asciiTheme="majorHAnsi" w:hAnsiTheme="majorHAnsi"/>
          <w:color w:val="0070C0"/>
        </w:rPr>
        <w:t>Have not heard of any further issues.</w:t>
      </w:r>
      <w:proofErr w:type="gramEnd"/>
    </w:p>
    <w:p w:rsidR="0096060D" w:rsidRDefault="0096060D" w:rsidP="00802C15">
      <w:pPr>
        <w:rPr>
          <w:rFonts w:asciiTheme="majorHAnsi" w:hAnsiTheme="majorHAnsi"/>
          <w:color w:val="0070C0"/>
        </w:rPr>
      </w:pPr>
    </w:p>
    <w:p w:rsidR="0096060D" w:rsidRDefault="0096060D" w:rsidP="00802C15">
      <w:pPr>
        <w:rPr>
          <w:rFonts w:asciiTheme="majorHAnsi" w:hAnsiTheme="majorHAnsi"/>
          <w:b/>
        </w:rPr>
      </w:pPr>
      <w:r>
        <w:rPr>
          <w:rFonts w:asciiTheme="majorHAnsi" w:hAnsiTheme="majorHAnsi"/>
          <w:b/>
        </w:rPr>
        <w:t>DODD Issuing Citations Not Supported by Rule/Statute</w:t>
      </w:r>
    </w:p>
    <w:p w:rsidR="0096060D" w:rsidRPr="0096060D" w:rsidRDefault="0096060D" w:rsidP="00802C15">
      <w:pPr>
        <w:rPr>
          <w:rFonts w:asciiTheme="majorHAnsi" w:hAnsiTheme="majorHAnsi"/>
          <w:color w:val="0070C0"/>
        </w:rPr>
      </w:pPr>
      <w:r>
        <w:rPr>
          <w:rFonts w:asciiTheme="majorHAnsi" w:hAnsiTheme="majorHAnsi"/>
          <w:b/>
        </w:rPr>
        <w:tab/>
      </w:r>
      <w:r w:rsidR="00BA4053" w:rsidRPr="00BA4053">
        <w:rPr>
          <w:rFonts w:asciiTheme="majorHAnsi" w:hAnsiTheme="majorHAnsi"/>
          <w:color w:val="0070C0"/>
        </w:rPr>
        <w:t>L</w:t>
      </w:r>
      <w:r w:rsidRPr="00BA4053">
        <w:rPr>
          <w:rFonts w:asciiTheme="majorHAnsi" w:hAnsiTheme="majorHAnsi"/>
          <w:color w:val="0070C0"/>
        </w:rPr>
        <w:t>angu</w:t>
      </w:r>
      <w:r w:rsidRPr="0096060D">
        <w:rPr>
          <w:rFonts w:asciiTheme="majorHAnsi" w:hAnsiTheme="majorHAnsi"/>
          <w:color w:val="0070C0"/>
        </w:rPr>
        <w:t>age</w:t>
      </w:r>
      <w:r w:rsidR="00BA4053">
        <w:rPr>
          <w:rFonts w:asciiTheme="majorHAnsi" w:hAnsiTheme="majorHAnsi"/>
          <w:color w:val="0070C0"/>
        </w:rPr>
        <w:t xml:space="preserve"> drafted for S</w:t>
      </w:r>
      <w:r w:rsidR="00C46D03">
        <w:rPr>
          <w:rFonts w:asciiTheme="majorHAnsi" w:hAnsiTheme="majorHAnsi"/>
          <w:color w:val="0070C0"/>
        </w:rPr>
        <w:t>.</w:t>
      </w:r>
      <w:r w:rsidR="00BA4053">
        <w:rPr>
          <w:rFonts w:asciiTheme="majorHAnsi" w:hAnsiTheme="majorHAnsi"/>
          <w:color w:val="0070C0"/>
        </w:rPr>
        <w:t>B</w:t>
      </w:r>
      <w:r w:rsidR="00C46D03">
        <w:rPr>
          <w:rFonts w:asciiTheme="majorHAnsi" w:hAnsiTheme="majorHAnsi"/>
          <w:color w:val="0070C0"/>
        </w:rPr>
        <w:t>. 2</w:t>
      </w:r>
      <w:r w:rsidR="00BA4053">
        <w:rPr>
          <w:rFonts w:asciiTheme="majorHAnsi" w:hAnsiTheme="majorHAnsi"/>
          <w:color w:val="0070C0"/>
        </w:rPr>
        <w:t>70, clarifying that any citation must tied to rule/law.</w:t>
      </w:r>
    </w:p>
    <w:p w:rsidR="00440E87" w:rsidRDefault="00440E87" w:rsidP="00440E87">
      <w:pPr>
        <w:rPr>
          <w:rFonts w:asciiTheme="majorHAnsi" w:hAnsiTheme="majorHAnsi"/>
        </w:rPr>
      </w:pPr>
    </w:p>
    <w:sectPr w:rsidR="00440E87" w:rsidSect="00713CCE">
      <w:headerReference w:type="first" r:id="rId9"/>
      <w:footerReference w:type="first" r:id="rId10"/>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916" w:rsidRDefault="002A5916" w:rsidP="005A650E">
      <w:r>
        <w:separator/>
      </w:r>
    </w:p>
  </w:endnote>
  <w:endnote w:type="continuationSeparator" w:id="0">
    <w:p w:rsidR="002A5916" w:rsidRDefault="002A5916"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01" w:rsidRPr="008238BF" w:rsidRDefault="00005901"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916" w:rsidRDefault="002A5916" w:rsidP="005A650E">
      <w:r>
        <w:separator/>
      </w:r>
    </w:p>
  </w:footnote>
  <w:footnote w:type="continuationSeparator" w:id="0">
    <w:p w:rsidR="002A5916" w:rsidRDefault="002A5916"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01" w:rsidRDefault="00005901" w:rsidP="00713CCE">
    <w:r>
      <w:rPr>
        <w:noProof/>
      </w:rPr>
      <w:drawing>
        <wp:anchor distT="0" distB="0" distL="114300" distR="114300" simplePos="0" relativeHeight="251658240" behindDoc="1" locked="0" layoutInCell="1" allowOverlap="1" wp14:anchorId="26CA2C45" wp14:editId="35111E5F">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E1181A"/>
    <w:multiLevelType w:val="hybridMultilevel"/>
    <w:tmpl w:val="9D2AE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05901"/>
    <w:rsid w:val="00024E4B"/>
    <w:rsid w:val="00046C2E"/>
    <w:rsid w:val="000B7E61"/>
    <w:rsid w:val="000E124F"/>
    <w:rsid w:val="000F6040"/>
    <w:rsid w:val="00101791"/>
    <w:rsid w:val="001100B0"/>
    <w:rsid w:val="001456BA"/>
    <w:rsid w:val="00155FAF"/>
    <w:rsid w:val="001619FA"/>
    <w:rsid w:val="001914E3"/>
    <w:rsid w:val="001B09DF"/>
    <w:rsid w:val="001B57E7"/>
    <w:rsid w:val="001C3EEA"/>
    <w:rsid w:val="001E3D6F"/>
    <w:rsid w:val="00200343"/>
    <w:rsid w:val="002014B3"/>
    <w:rsid w:val="00247DA3"/>
    <w:rsid w:val="00283177"/>
    <w:rsid w:val="0029531D"/>
    <w:rsid w:val="002A5916"/>
    <w:rsid w:val="002F347D"/>
    <w:rsid w:val="00303D3F"/>
    <w:rsid w:val="00335576"/>
    <w:rsid w:val="003639DB"/>
    <w:rsid w:val="00385179"/>
    <w:rsid w:val="003B376A"/>
    <w:rsid w:val="003C2CE1"/>
    <w:rsid w:val="003C3841"/>
    <w:rsid w:val="003E1C26"/>
    <w:rsid w:val="0040492C"/>
    <w:rsid w:val="00433ADA"/>
    <w:rsid w:val="00440E87"/>
    <w:rsid w:val="00444A8A"/>
    <w:rsid w:val="00454DDC"/>
    <w:rsid w:val="0046026C"/>
    <w:rsid w:val="00464D5E"/>
    <w:rsid w:val="004834FE"/>
    <w:rsid w:val="00493153"/>
    <w:rsid w:val="00495801"/>
    <w:rsid w:val="004C5E85"/>
    <w:rsid w:val="004D2FAD"/>
    <w:rsid w:val="004D4D80"/>
    <w:rsid w:val="004D53BE"/>
    <w:rsid w:val="0053237F"/>
    <w:rsid w:val="005367AB"/>
    <w:rsid w:val="00560E1D"/>
    <w:rsid w:val="00571835"/>
    <w:rsid w:val="00575823"/>
    <w:rsid w:val="00590433"/>
    <w:rsid w:val="005A650E"/>
    <w:rsid w:val="005B72C6"/>
    <w:rsid w:val="005D65F4"/>
    <w:rsid w:val="005F0AE4"/>
    <w:rsid w:val="00606CF7"/>
    <w:rsid w:val="00632600"/>
    <w:rsid w:val="00634351"/>
    <w:rsid w:val="00644D8E"/>
    <w:rsid w:val="006600E1"/>
    <w:rsid w:val="006D39C1"/>
    <w:rsid w:val="00713CCE"/>
    <w:rsid w:val="00730CE0"/>
    <w:rsid w:val="007662EB"/>
    <w:rsid w:val="00770673"/>
    <w:rsid w:val="00780CAB"/>
    <w:rsid w:val="007B4A54"/>
    <w:rsid w:val="007C0412"/>
    <w:rsid w:val="007E6501"/>
    <w:rsid w:val="00802C15"/>
    <w:rsid w:val="008238BF"/>
    <w:rsid w:val="00863A64"/>
    <w:rsid w:val="008A3B3A"/>
    <w:rsid w:val="00900AC3"/>
    <w:rsid w:val="0091691A"/>
    <w:rsid w:val="00922E4E"/>
    <w:rsid w:val="00936F7E"/>
    <w:rsid w:val="00937917"/>
    <w:rsid w:val="0096060D"/>
    <w:rsid w:val="00997A92"/>
    <w:rsid w:val="009A4474"/>
    <w:rsid w:val="009F0B6A"/>
    <w:rsid w:val="009F538A"/>
    <w:rsid w:val="00A074CE"/>
    <w:rsid w:val="00A114B0"/>
    <w:rsid w:val="00A137F9"/>
    <w:rsid w:val="00A15B04"/>
    <w:rsid w:val="00A93673"/>
    <w:rsid w:val="00AC1659"/>
    <w:rsid w:val="00B3482D"/>
    <w:rsid w:val="00B42262"/>
    <w:rsid w:val="00B5477B"/>
    <w:rsid w:val="00B62FA4"/>
    <w:rsid w:val="00B848A7"/>
    <w:rsid w:val="00B961AB"/>
    <w:rsid w:val="00BA4053"/>
    <w:rsid w:val="00BD05AB"/>
    <w:rsid w:val="00BD1332"/>
    <w:rsid w:val="00BD536B"/>
    <w:rsid w:val="00C05E7C"/>
    <w:rsid w:val="00C27D04"/>
    <w:rsid w:val="00C46D03"/>
    <w:rsid w:val="00D3756C"/>
    <w:rsid w:val="00D56A8F"/>
    <w:rsid w:val="00DA1DA2"/>
    <w:rsid w:val="00DF4C96"/>
    <w:rsid w:val="00E47BB2"/>
    <w:rsid w:val="00E47FD9"/>
    <w:rsid w:val="00E56023"/>
    <w:rsid w:val="00EA5A95"/>
    <w:rsid w:val="00ED0A06"/>
    <w:rsid w:val="00ED72E8"/>
    <w:rsid w:val="00EF0126"/>
    <w:rsid w:val="00F9293A"/>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B846-6F8D-4DE9-AA2F-A0D76DE7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10</cp:revision>
  <cp:lastPrinted>2014-02-21T17:24:00Z</cp:lastPrinted>
  <dcterms:created xsi:type="dcterms:W3CDTF">2014-02-11T20:19:00Z</dcterms:created>
  <dcterms:modified xsi:type="dcterms:W3CDTF">2014-02-18T21:06:00Z</dcterms:modified>
</cp:coreProperties>
</file>