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75" w:rsidRPr="000F0421" w:rsidRDefault="006179D4" w:rsidP="00FE36F6">
      <w:pPr>
        <w:spacing w:after="0"/>
        <w:jc w:val="center"/>
        <w:rPr>
          <w:b/>
          <w:color w:val="365F91" w:themeColor="accent1" w:themeShade="BF"/>
          <w:sz w:val="28"/>
          <w:szCs w:val="28"/>
        </w:rPr>
      </w:pPr>
      <w:r>
        <w:rPr>
          <w:b/>
          <w:noProof/>
          <w:color w:val="365F91" w:themeColor="accent1" w:themeShade="BF"/>
          <w:sz w:val="28"/>
          <w:szCs w:val="28"/>
        </w:rPr>
        <mc:AlternateContent>
          <mc:Choice Requires="wps">
            <w:drawing>
              <wp:anchor distT="0" distB="0" distL="114300" distR="114300" simplePos="0" relativeHeight="251660288" behindDoc="0" locked="0" layoutInCell="1" allowOverlap="1">
                <wp:simplePos x="0" y="0"/>
                <wp:positionH relativeFrom="column">
                  <wp:posOffset>6163945</wp:posOffset>
                </wp:positionH>
                <wp:positionV relativeFrom="paragraph">
                  <wp:posOffset>-238125</wp:posOffset>
                </wp:positionV>
                <wp:extent cx="2665730" cy="783590"/>
                <wp:effectExtent l="4445"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421" w:rsidRDefault="000F0421" w:rsidP="000F0421">
                            <w:pPr>
                              <w:jc w:val="right"/>
                            </w:pPr>
                            <w:r>
                              <w:rPr>
                                <w:noProof/>
                              </w:rPr>
                              <w:drawing>
                                <wp:inline distT="0" distB="0" distL="0" distR="0">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85.35pt;margin-top:-18.7pt;width:209.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bzj4ICAAAP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" stroked="f">
                <v:textbox>
                  <w:txbxContent>
                    <w:p w:rsidR="000F0421" w:rsidRDefault="000F0421" w:rsidP="000F0421">
                      <w:pPr>
                        <w:jc w:val="right"/>
                      </w:pPr>
                      <w:r>
                        <w:rPr>
                          <w:noProof/>
                        </w:rPr>
                        <w:drawing>
                          <wp:inline distT="0" distB="0" distL="0" distR="0">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v:textbox>
              </v:shape>
            </w:pict>
          </mc:Fallback>
        </mc:AlternateContent>
      </w:r>
      <w:r w:rsidR="00FE36F6" w:rsidRPr="000F0421">
        <w:rPr>
          <w:b/>
          <w:color w:val="365F91" w:themeColor="accent1" w:themeShade="BF"/>
          <w:sz w:val="28"/>
          <w:szCs w:val="28"/>
        </w:rPr>
        <w:t>OPRA Strategic Plan</w:t>
      </w:r>
      <w:r w:rsidR="000F0421" w:rsidRPr="000F0421">
        <w:rPr>
          <w:b/>
          <w:color w:val="365F91" w:themeColor="accent1" w:themeShade="BF"/>
          <w:sz w:val="28"/>
          <w:szCs w:val="28"/>
        </w:rPr>
        <w:t xml:space="preserve"> </w:t>
      </w:r>
    </w:p>
    <w:p w:rsidR="00FE36F6" w:rsidRPr="000F0421" w:rsidRDefault="00FE36F6" w:rsidP="00FE36F6">
      <w:pPr>
        <w:spacing w:after="0"/>
        <w:jc w:val="center"/>
        <w:rPr>
          <w:b/>
          <w:color w:val="365F91" w:themeColor="accent1" w:themeShade="BF"/>
          <w:sz w:val="24"/>
          <w:szCs w:val="24"/>
        </w:rPr>
      </w:pPr>
      <w:r w:rsidRPr="000F0421">
        <w:rPr>
          <w:b/>
          <w:color w:val="365F91" w:themeColor="accent1" w:themeShade="BF"/>
          <w:sz w:val="24"/>
          <w:szCs w:val="24"/>
        </w:rPr>
        <w:t>2014-2015</w:t>
      </w:r>
    </w:p>
    <w:p w:rsidR="00FE36F6" w:rsidRPr="00B06076" w:rsidRDefault="00FE36F6" w:rsidP="00FE36F6">
      <w:pPr>
        <w:spacing w:after="0"/>
        <w:jc w:val="center"/>
        <w:rPr>
          <w:b/>
          <w:sz w:val="12"/>
          <w:szCs w:val="12"/>
        </w:rPr>
      </w:pPr>
    </w:p>
    <w:tbl>
      <w:tblPr>
        <w:tblStyle w:val="TableGrid"/>
        <w:tblW w:w="14130" w:type="dxa"/>
        <w:tblInd w:w="-72" w:type="dxa"/>
        <w:tblLook w:val="04A0" w:firstRow="1" w:lastRow="0" w:firstColumn="1" w:lastColumn="0" w:noHBand="0" w:noVBand="1"/>
      </w:tblPr>
      <w:tblGrid>
        <w:gridCol w:w="3546"/>
        <w:gridCol w:w="3744"/>
        <w:gridCol w:w="3420"/>
        <w:gridCol w:w="3420"/>
      </w:tblGrid>
      <w:tr w:rsidR="00FE36F6" w:rsidTr="000F0421">
        <w:tc>
          <w:tcPr>
            <w:tcW w:w="14130" w:type="dxa"/>
            <w:gridSpan w:val="4"/>
            <w:shd w:val="clear" w:color="auto" w:fill="C6D9F1" w:themeFill="text2" w:themeFillTint="33"/>
          </w:tcPr>
          <w:p w:rsidR="000F0421" w:rsidRPr="000F0421" w:rsidRDefault="000F0421" w:rsidP="00FE36F6">
            <w:pPr>
              <w:jc w:val="center"/>
              <w:rPr>
                <w:b/>
                <w:sz w:val="4"/>
                <w:szCs w:val="4"/>
              </w:rPr>
            </w:pPr>
          </w:p>
          <w:p w:rsidR="00FE36F6" w:rsidRPr="00B06076" w:rsidRDefault="00FE36F6" w:rsidP="00FE36F6">
            <w:pPr>
              <w:jc w:val="center"/>
              <w:rPr>
                <w:b/>
                <w:sz w:val="24"/>
                <w:szCs w:val="24"/>
              </w:rPr>
            </w:pPr>
            <w:r w:rsidRPr="00B06076">
              <w:rPr>
                <w:b/>
                <w:sz w:val="24"/>
                <w:szCs w:val="24"/>
              </w:rPr>
              <w:t>Mission Statement</w:t>
            </w:r>
          </w:p>
          <w:p w:rsidR="000F0421" w:rsidRPr="000F0421" w:rsidRDefault="000F0421" w:rsidP="00FE36F6">
            <w:pPr>
              <w:jc w:val="center"/>
              <w:rPr>
                <w:b/>
                <w:sz w:val="4"/>
                <w:szCs w:val="4"/>
              </w:rPr>
            </w:pPr>
          </w:p>
        </w:tc>
      </w:tr>
      <w:tr w:rsidR="00FE36F6" w:rsidRPr="00B06076" w:rsidTr="00FE36F6">
        <w:tc>
          <w:tcPr>
            <w:tcW w:w="14130" w:type="dxa"/>
            <w:gridSpan w:val="4"/>
          </w:tcPr>
          <w:p w:rsidR="00FE36F6" w:rsidRPr="00B06076" w:rsidRDefault="00FE36F6" w:rsidP="00FE36F6">
            <w:pPr>
              <w:jc w:val="center"/>
              <w:rPr>
                <w:sz w:val="8"/>
                <w:szCs w:val="8"/>
              </w:rPr>
            </w:pPr>
          </w:p>
          <w:p w:rsidR="00FE36F6" w:rsidRPr="00B06076" w:rsidRDefault="00FE36F6" w:rsidP="00FE36F6">
            <w:pPr>
              <w:jc w:val="center"/>
              <w:rPr>
                <w:sz w:val="23"/>
                <w:szCs w:val="23"/>
              </w:rPr>
            </w:pPr>
            <w:r w:rsidRPr="00B06076">
              <w:rPr>
                <w:sz w:val="23"/>
                <w:szCs w:val="23"/>
              </w:rPr>
              <w:t xml:space="preserve">To support and provide advocacy for community-based service providers to ensure the availability of programs, services, and </w:t>
            </w:r>
            <w:r w:rsidR="003D592A">
              <w:rPr>
                <w:sz w:val="23"/>
                <w:szCs w:val="23"/>
              </w:rPr>
              <w:t xml:space="preserve">                              </w:t>
            </w:r>
            <w:r w:rsidRPr="00B06076">
              <w:rPr>
                <w:sz w:val="23"/>
                <w:szCs w:val="23"/>
              </w:rPr>
              <w:t>funding adequate</w:t>
            </w:r>
            <w:r w:rsidR="003D592A">
              <w:rPr>
                <w:sz w:val="23"/>
                <w:szCs w:val="23"/>
              </w:rPr>
              <w:t xml:space="preserve"> </w:t>
            </w:r>
            <w:r w:rsidRPr="00B06076">
              <w:rPr>
                <w:sz w:val="23"/>
                <w:szCs w:val="23"/>
              </w:rPr>
              <w:t>to support and assist individuals with developmental disabilities as they strive to achieve a life of increa</w:t>
            </w:r>
            <w:r w:rsidR="003D592A">
              <w:rPr>
                <w:sz w:val="23"/>
                <w:szCs w:val="23"/>
              </w:rPr>
              <w:t xml:space="preserve">sing                independence, productivity </w:t>
            </w:r>
            <w:r w:rsidRPr="00B06076">
              <w:rPr>
                <w:sz w:val="23"/>
                <w:szCs w:val="23"/>
              </w:rPr>
              <w:t>and integration.</w:t>
            </w:r>
          </w:p>
          <w:p w:rsidR="00FE36F6" w:rsidRPr="00B06076" w:rsidRDefault="00FE36F6" w:rsidP="00FE36F6">
            <w:pPr>
              <w:jc w:val="center"/>
              <w:rPr>
                <w:sz w:val="8"/>
                <w:szCs w:val="8"/>
              </w:rPr>
            </w:pPr>
          </w:p>
        </w:tc>
      </w:tr>
      <w:tr w:rsidR="00FE36F6" w:rsidTr="000F0421">
        <w:tc>
          <w:tcPr>
            <w:tcW w:w="14130" w:type="dxa"/>
            <w:gridSpan w:val="4"/>
            <w:shd w:val="clear" w:color="auto" w:fill="C6D9F1" w:themeFill="text2" w:themeFillTint="33"/>
          </w:tcPr>
          <w:p w:rsidR="000F0421" w:rsidRPr="000F0421" w:rsidRDefault="000F0421" w:rsidP="00FE36F6">
            <w:pPr>
              <w:jc w:val="center"/>
              <w:rPr>
                <w:b/>
                <w:sz w:val="4"/>
                <w:szCs w:val="4"/>
              </w:rPr>
            </w:pPr>
          </w:p>
          <w:p w:rsidR="00FE36F6" w:rsidRPr="00B06076" w:rsidRDefault="00BB57A5" w:rsidP="00FE36F6">
            <w:pPr>
              <w:jc w:val="center"/>
              <w:rPr>
                <w:b/>
                <w:sz w:val="24"/>
                <w:szCs w:val="24"/>
              </w:rPr>
            </w:pPr>
            <w:r w:rsidRPr="00B06076">
              <w:rPr>
                <w:b/>
                <w:sz w:val="24"/>
                <w:szCs w:val="24"/>
              </w:rPr>
              <w:t xml:space="preserve">2014-15 </w:t>
            </w:r>
            <w:r w:rsidR="00FE36F6" w:rsidRPr="00B06076">
              <w:rPr>
                <w:b/>
                <w:sz w:val="24"/>
                <w:szCs w:val="24"/>
              </w:rPr>
              <w:t>Focus Areas &amp; Goals</w:t>
            </w:r>
          </w:p>
          <w:p w:rsidR="000F0421" w:rsidRPr="000F0421" w:rsidRDefault="000F0421" w:rsidP="00FE36F6">
            <w:pPr>
              <w:jc w:val="center"/>
              <w:rPr>
                <w:b/>
                <w:sz w:val="4"/>
                <w:szCs w:val="4"/>
              </w:rPr>
            </w:pPr>
          </w:p>
        </w:tc>
      </w:tr>
      <w:tr w:rsidR="00FE36F6" w:rsidRPr="00B06076" w:rsidTr="00B06076">
        <w:tc>
          <w:tcPr>
            <w:tcW w:w="3546" w:type="dxa"/>
          </w:tcPr>
          <w:p w:rsidR="00B2551B" w:rsidRPr="00B06076" w:rsidRDefault="00B2551B" w:rsidP="00FE36F6">
            <w:pPr>
              <w:jc w:val="center"/>
              <w:rPr>
                <w:b/>
                <w:sz w:val="8"/>
                <w:szCs w:val="8"/>
              </w:rPr>
            </w:pPr>
          </w:p>
          <w:p w:rsidR="00FE36F6" w:rsidRPr="00B06076" w:rsidRDefault="00FE36F6" w:rsidP="00FE36F6">
            <w:pPr>
              <w:jc w:val="center"/>
              <w:rPr>
                <w:b/>
                <w:sz w:val="23"/>
                <w:szCs w:val="23"/>
              </w:rPr>
            </w:pPr>
            <w:r w:rsidRPr="00B06076">
              <w:rPr>
                <w:b/>
                <w:sz w:val="23"/>
                <w:szCs w:val="23"/>
              </w:rPr>
              <w:t>Efficiencies and Simplification</w:t>
            </w:r>
          </w:p>
          <w:p w:rsidR="00B2551B" w:rsidRPr="00B06076" w:rsidRDefault="00B2551B" w:rsidP="00FE36F6">
            <w:pPr>
              <w:jc w:val="center"/>
              <w:rPr>
                <w:b/>
                <w:sz w:val="23"/>
                <w:szCs w:val="23"/>
              </w:rPr>
            </w:pPr>
          </w:p>
        </w:tc>
        <w:tc>
          <w:tcPr>
            <w:tcW w:w="3744" w:type="dxa"/>
          </w:tcPr>
          <w:p w:rsidR="00B2551B" w:rsidRPr="00B06076" w:rsidRDefault="00B2551B" w:rsidP="00FE36F6">
            <w:pPr>
              <w:jc w:val="center"/>
              <w:rPr>
                <w:b/>
                <w:sz w:val="8"/>
                <w:szCs w:val="8"/>
              </w:rPr>
            </w:pPr>
          </w:p>
          <w:p w:rsidR="00FE36F6" w:rsidRPr="00B06076" w:rsidRDefault="00FE36F6" w:rsidP="00FE36F6">
            <w:pPr>
              <w:jc w:val="center"/>
              <w:rPr>
                <w:b/>
                <w:sz w:val="23"/>
                <w:szCs w:val="23"/>
              </w:rPr>
            </w:pPr>
            <w:r w:rsidRPr="00B06076">
              <w:rPr>
                <w:b/>
                <w:sz w:val="23"/>
                <w:szCs w:val="23"/>
              </w:rPr>
              <w:t>Reimbursement Transformation for Workforce Sustainability and Quality</w:t>
            </w:r>
          </w:p>
          <w:p w:rsidR="00B2551B" w:rsidRPr="00B06076" w:rsidRDefault="00B2551B" w:rsidP="00FE36F6">
            <w:pPr>
              <w:jc w:val="center"/>
              <w:rPr>
                <w:b/>
                <w:sz w:val="8"/>
                <w:szCs w:val="8"/>
              </w:rPr>
            </w:pPr>
          </w:p>
        </w:tc>
        <w:tc>
          <w:tcPr>
            <w:tcW w:w="3420" w:type="dxa"/>
          </w:tcPr>
          <w:p w:rsidR="00B2551B" w:rsidRPr="00B06076" w:rsidRDefault="00B2551B" w:rsidP="00FE36F6">
            <w:pPr>
              <w:jc w:val="center"/>
              <w:rPr>
                <w:b/>
                <w:sz w:val="8"/>
                <w:szCs w:val="8"/>
              </w:rPr>
            </w:pPr>
          </w:p>
          <w:p w:rsidR="00FE36F6" w:rsidRPr="00B06076" w:rsidRDefault="00FE36F6" w:rsidP="00FE36F6">
            <w:pPr>
              <w:jc w:val="center"/>
              <w:rPr>
                <w:b/>
                <w:sz w:val="23"/>
                <w:szCs w:val="23"/>
              </w:rPr>
            </w:pPr>
            <w:r w:rsidRPr="00B06076">
              <w:rPr>
                <w:b/>
                <w:sz w:val="23"/>
                <w:szCs w:val="23"/>
              </w:rPr>
              <w:t>Future Opportunities and Unmet Needs</w:t>
            </w:r>
          </w:p>
        </w:tc>
        <w:tc>
          <w:tcPr>
            <w:tcW w:w="3420" w:type="dxa"/>
          </w:tcPr>
          <w:p w:rsidR="00B2551B" w:rsidRPr="00B06076" w:rsidRDefault="00B2551B" w:rsidP="00FE36F6">
            <w:pPr>
              <w:jc w:val="center"/>
              <w:rPr>
                <w:b/>
                <w:sz w:val="8"/>
                <w:szCs w:val="8"/>
              </w:rPr>
            </w:pPr>
          </w:p>
          <w:p w:rsidR="00FE36F6" w:rsidRPr="00B06076" w:rsidRDefault="00B2551B" w:rsidP="00FE36F6">
            <w:pPr>
              <w:jc w:val="center"/>
              <w:rPr>
                <w:b/>
                <w:sz w:val="23"/>
                <w:szCs w:val="23"/>
              </w:rPr>
            </w:pPr>
            <w:r w:rsidRPr="00B06076">
              <w:rPr>
                <w:b/>
                <w:sz w:val="23"/>
                <w:szCs w:val="23"/>
              </w:rPr>
              <w:t>Membership and Member Service</w:t>
            </w:r>
            <w:r w:rsidR="00FE36F6" w:rsidRPr="00B06076">
              <w:rPr>
                <w:b/>
                <w:sz w:val="23"/>
                <w:szCs w:val="23"/>
              </w:rPr>
              <w:t>s</w:t>
            </w:r>
          </w:p>
        </w:tc>
      </w:tr>
      <w:tr w:rsidR="00FE36F6" w:rsidRPr="00B06076" w:rsidTr="00B06076">
        <w:trPr>
          <w:trHeight w:val="5480"/>
        </w:trPr>
        <w:tc>
          <w:tcPr>
            <w:tcW w:w="3546" w:type="dxa"/>
          </w:tcPr>
          <w:p w:rsidR="00FE36F6" w:rsidRPr="00B06076" w:rsidRDefault="00656DEB" w:rsidP="00FE36F6">
            <w:pPr>
              <w:pStyle w:val="ListParagraph"/>
              <w:numPr>
                <w:ilvl w:val="0"/>
                <w:numId w:val="1"/>
              </w:numPr>
              <w:rPr>
                <w:sz w:val="23"/>
                <w:szCs w:val="23"/>
              </w:rPr>
            </w:pPr>
            <w:r>
              <w:rPr>
                <w:sz w:val="23"/>
                <w:szCs w:val="23"/>
              </w:rPr>
              <w:t>Push to a</w:t>
            </w:r>
            <w:r w:rsidR="00FE36F6" w:rsidRPr="00B06076">
              <w:rPr>
                <w:sz w:val="23"/>
                <w:szCs w:val="23"/>
              </w:rPr>
              <w:t xml:space="preserve">lign the SSA and Program Management functions to clarify who does </w:t>
            </w:r>
            <w:r w:rsidR="008E1DB8" w:rsidRPr="00B06076">
              <w:rPr>
                <w:sz w:val="23"/>
                <w:szCs w:val="23"/>
              </w:rPr>
              <w:t>what and to pursue program specialist</w:t>
            </w:r>
            <w:r w:rsidR="00FE36F6" w:rsidRPr="00B06076">
              <w:rPr>
                <w:sz w:val="23"/>
                <w:szCs w:val="23"/>
              </w:rPr>
              <w:t xml:space="preserve"> as a distinct, separate waiver service.</w:t>
            </w:r>
          </w:p>
          <w:p w:rsidR="00FE36F6" w:rsidRPr="00B06076" w:rsidRDefault="00FE36F6" w:rsidP="00FE36F6">
            <w:pPr>
              <w:pStyle w:val="ListParagraph"/>
              <w:numPr>
                <w:ilvl w:val="0"/>
                <w:numId w:val="1"/>
              </w:numPr>
              <w:rPr>
                <w:sz w:val="23"/>
                <w:szCs w:val="23"/>
              </w:rPr>
            </w:pPr>
            <w:r w:rsidRPr="00B06076">
              <w:rPr>
                <w:sz w:val="23"/>
                <w:szCs w:val="23"/>
              </w:rPr>
              <w:t>Pursue corrective action for a regularly-updated, prioritized list of member concerns.</w:t>
            </w:r>
          </w:p>
          <w:p w:rsidR="00FE36F6" w:rsidRPr="00B06076" w:rsidRDefault="008E1DB8" w:rsidP="00FE36F6">
            <w:pPr>
              <w:pStyle w:val="ListParagraph"/>
              <w:numPr>
                <w:ilvl w:val="0"/>
                <w:numId w:val="1"/>
              </w:numPr>
              <w:rPr>
                <w:sz w:val="23"/>
                <w:szCs w:val="23"/>
              </w:rPr>
            </w:pPr>
            <w:r w:rsidRPr="00B06076">
              <w:rPr>
                <w:sz w:val="23"/>
                <w:szCs w:val="23"/>
              </w:rPr>
              <w:t>Champion the reduction of</w:t>
            </w:r>
            <w:r w:rsidR="00FE36F6" w:rsidRPr="00B06076">
              <w:rPr>
                <w:sz w:val="23"/>
                <w:szCs w:val="23"/>
              </w:rPr>
              <w:t xml:space="preserve"> duplication of s</w:t>
            </w:r>
            <w:r w:rsidR="002743BB">
              <w:rPr>
                <w:sz w:val="23"/>
                <w:szCs w:val="23"/>
              </w:rPr>
              <w:t>urveys, including ODH/Licensure and</w:t>
            </w:r>
            <w:r w:rsidR="00FE36F6" w:rsidRPr="00B06076">
              <w:rPr>
                <w:sz w:val="23"/>
                <w:szCs w:val="23"/>
              </w:rPr>
              <w:t xml:space="preserve"> nursing quality assurance</w:t>
            </w:r>
            <w:r w:rsidR="002743BB">
              <w:rPr>
                <w:sz w:val="23"/>
                <w:szCs w:val="23"/>
              </w:rPr>
              <w:t>,</w:t>
            </w:r>
            <w:r w:rsidR="00FE36F6" w:rsidRPr="00B06076">
              <w:rPr>
                <w:sz w:val="23"/>
                <w:szCs w:val="23"/>
              </w:rPr>
              <w:t xml:space="preserve"> and pursue deeming for CARF and other national accreditation.</w:t>
            </w:r>
          </w:p>
        </w:tc>
        <w:tc>
          <w:tcPr>
            <w:tcW w:w="3744" w:type="dxa"/>
          </w:tcPr>
          <w:p w:rsidR="00FE36F6" w:rsidRPr="00B06076" w:rsidRDefault="008E1DB8" w:rsidP="00FE36F6">
            <w:pPr>
              <w:pStyle w:val="ListParagraph"/>
              <w:numPr>
                <w:ilvl w:val="0"/>
                <w:numId w:val="2"/>
              </w:numPr>
              <w:rPr>
                <w:sz w:val="23"/>
                <w:szCs w:val="23"/>
              </w:rPr>
            </w:pPr>
            <w:r w:rsidRPr="00B06076">
              <w:rPr>
                <w:sz w:val="23"/>
                <w:szCs w:val="23"/>
              </w:rPr>
              <w:t>Advocate for r</w:t>
            </w:r>
            <w:r w:rsidR="00FE36F6" w:rsidRPr="00B06076">
              <w:rPr>
                <w:sz w:val="23"/>
                <w:szCs w:val="23"/>
              </w:rPr>
              <w:t>e-invest</w:t>
            </w:r>
            <w:r w:rsidRPr="00B06076">
              <w:rPr>
                <w:sz w:val="23"/>
                <w:szCs w:val="23"/>
              </w:rPr>
              <w:t>ment</w:t>
            </w:r>
            <w:r w:rsidR="00FE36F6" w:rsidRPr="00B06076">
              <w:rPr>
                <w:sz w:val="23"/>
                <w:szCs w:val="23"/>
              </w:rPr>
              <w:t xml:space="preserve"> </w:t>
            </w:r>
            <w:r w:rsidRPr="00B06076">
              <w:rPr>
                <w:sz w:val="23"/>
                <w:szCs w:val="23"/>
              </w:rPr>
              <w:t xml:space="preserve">of County Boards of DD/DODD budget savings accrued from waiver budgets or efficiencies in County Boards and State systems </w:t>
            </w:r>
            <w:r w:rsidR="00FE36F6" w:rsidRPr="00B06076">
              <w:rPr>
                <w:sz w:val="23"/>
                <w:szCs w:val="23"/>
              </w:rPr>
              <w:t xml:space="preserve">in DSP </w:t>
            </w:r>
            <w:r w:rsidRPr="00B06076">
              <w:rPr>
                <w:sz w:val="23"/>
                <w:szCs w:val="23"/>
              </w:rPr>
              <w:t>wages, benefits, training and supervision</w:t>
            </w:r>
            <w:r w:rsidR="002743BB">
              <w:rPr>
                <w:sz w:val="23"/>
                <w:szCs w:val="23"/>
              </w:rPr>
              <w:t>,</w:t>
            </w:r>
            <w:r w:rsidRPr="00B06076">
              <w:rPr>
                <w:sz w:val="23"/>
                <w:szCs w:val="23"/>
              </w:rPr>
              <w:t xml:space="preserve"> and waiting list</w:t>
            </w:r>
            <w:r w:rsidR="00FE36F6" w:rsidRPr="00B06076">
              <w:rPr>
                <w:sz w:val="23"/>
                <w:szCs w:val="23"/>
              </w:rPr>
              <w:t>.</w:t>
            </w:r>
          </w:p>
          <w:p w:rsidR="00FE36F6" w:rsidRPr="00B06076" w:rsidRDefault="008E1DB8" w:rsidP="00FE36F6">
            <w:pPr>
              <w:pStyle w:val="ListParagraph"/>
              <w:numPr>
                <w:ilvl w:val="0"/>
                <w:numId w:val="2"/>
              </w:numPr>
              <w:rPr>
                <w:sz w:val="23"/>
                <w:szCs w:val="23"/>
              </w:rPr>
            </w:pPr>
            <w:r w:rsidRPr="00B06076">
              <w:rPr>
                <w:sz w:val="23"/>
                <w:szCs w:val="23"/>
              </w:rPr>
              <w:t xml:space="preserve">Advocate for annual adjustments to </w:t>
            </w:r>
            <w:r w:rsidR="00FE36F6" w:rsidRPr="00B06076">
              <w:rPr>
                <w:sz w:val="23"/>
                <w:szCs w:val="23"/>
              </w:rPr>
              <w:t>ICF</w:t>
            </w:r>
            <w:r w:rsidRPr="00B06076">
              <w:rPr>
                <w:sz w:val="23"/>
                <w:szCs w:val="23"/>
              </w:rPr>
              <w:t xml:space="preserve"> and waiver</w:t>
            </w:r>
            <w:r w:rsidR="00FE36F6" w:rsidRPr="00B06076">
              <w:rPr>
                <w:sz w:val="23"/>
                <w:szCs w:val="23"/>
              </w:rPr>
              <w:t xml:space="preserve"> reimb</w:t>
            </w:r>
            <w:r w:rsidR="000F0421" w:rsidRPr="00B06076">
              <w:rPr>
                <w:sz w:val="23"/>
                <w:szCs w:val="23"/>
              </w:rPr>
              <w:t>ursement</w:t>
            </w:r>
            <w:r w:rsidR="00FE36F6" w:rsidRPr="00B06076">
              <w:rPr>
                <w:sz w:val="23"/>
                <w:szCs w:val="23"/>
              </w:rPr>
              <w:t xml:space="preserve"> tied to inflationary index and unfunded mandates for provider viability.</w:t>
            </w:r>
          </w:p>
          <w:p w:rsidR="00FE36F6" w:rsidRPr="00B06076" w:rsidRDefault="008E1DB8" w:rsidP="00B06076">
            <w:pPr>
              <w:pStyle w:val="ListParagraph"/>
              <w:numPr>
                <w:ilvl w:val="0"/>
                <w:numId w:val="2"/>
              </w:numPr>
              <w:rPr>
                <w:sz w:val="23"/>
                <w:szCs w:val="23"/>
              </w:rPr>
            </w:pPr>
            <w:r w:rsidRPr="00B06076">
              <w:rPr>
                <w:sz w:val="23"/>
                <w:szCs w:val="23"/>
              </w:rPr>
              <w:t>Using data provided by OPRA, advocate for implementation of</w:t>
            </w:r>
            <w:r w:rsidR="00FE36F6" w:rsidRPr="00B06076">
              <w:rPr>
                <w:sz w:val="23"/>
                <w:szCs w:val="23"/>
              </w:rPr>
              <w:t xml:space="preserve"> data-informed reimbursement policies/systems that provide positive incentives for achieving desired outcomes / policies.</w:t>
            </w:r>
          </w:p>
        </w:tc>
        <w:tc>
          <w:tcPr>
            <w:tcW w:w="3420" w:type="dxa"/>
          </w:tcPr>
          <w:p w:rsidR="00B2551B" w:rsidRPr="00B06076" w:rsidRDefault="008E1DB8" w:rsidP="008E1DB8">
            <w:pPr>
              <w:pStyle w:val="ListParagraph"/>
              <w:numPr>
                <w:ilvl w:val="0"/>
                <w:numId w:val="3"/>
              </w:numPr>
              <w:rPr>
                <w:sz w:val="23"/>
                <w:szCs w:val="23"/>
              </w:rPr>
            </w:pPr>
            <w:r w:rsidRPr="00B06076">
              <w:rPr>
                <w:sz w:val="23"/>
                <w:szCs w:val="23"/>
              </w:rPr>
              <w:t>Develop an OPRA strategy that identifies willing County Boards of DD and provides assistance to continue the trend of County Board divestment of direct services.</w:t>
            </w:r>
          </w:p>
          <w:p w:rsidR="00B2551B" w:rsidRPr="00B06076" w:rsidRDefault="008E1DB8" w:rsidP="00B2551B">
            <w:pPr>
              <w:pStyle w:val="ListParagraph"/>
              <w:numPr>
                <w:ilvl w:val="0"/>
                <w:numId w:val="3"/>
              </w:numPr>
              <w:rPr>
                <w:sz w:val="23"/>
                <w:szCs w:val="23"/>
              </w:rPr>
            </w:pPr>
            <w:r w:rsidRPr="00B06076">
              <w:rPr>
                <w:sz w:val="23"/>
                <w:szCs w:val="23"/>
              </w:rPr>
              <w:t>Persistently and consistently pursue service planning reform</w:t>
            </w:r>
            <w:r w:rsidR="00A91FDF" w:rsidRPr="00B06076">
              <w:rPr>
                <w:sz w:val="23"/>
                <w:szCs w:val="23"/>
              </w:rPr>
              <w:t xml:space="preserve"> with our system partners</w:t>
            </w:r>
            <w:r w:rsidRPr="00B06076">
              <w:rPr>
                <w:sz w:val="23"/>
                <w:szCs w:val="23"/>
              </w:rPr>
              <w:t>.</w:t>
            </w:r>
          </w:p>
          <w:p w:rsidR="00B2551B" w:rsidRPr="00B06076" w:rsidRDefault="00B2551B" w:rsidP="00B2551B">
            <w:pPr>
              <w:pStyle w:val="ListParagraph"/>
              <w:numPr>
                <w:ilvl w:val="0"/>
                <w:numId w:val="3"/>
              </w:numPr>
              <w:rPr>
                <w:sz w:val="23"/>
                <w:szCs w:val="23"/>
              </w:rPr>
            </w:pPr>
            <w:r w:rsidRPr="00B06076">
              <w:rPr>
                <w:sz w:val="23"/>
                <w:szCs w:val="23"/>
              </w:rPr>
              <w:t>Support the realization of the Employment First Initiative.</w:t>
            </w:r>
          </w:p>
          <w:p w:rsidR="00B2551B" w:rsidRPr="00B06076" w:rsidRDefault="00B2551B" w:rsidP="008E1DB8">
            <w:pPr>
              <w:pStyle w:val="ListParagraph"/>
              <w:ind w:left="360"/>
              <w:rPr>
                <w:sz w:val="23"/>
                <w:szCs w:val="23"/>
              </w:rPr>
            </w:pPr>
          </w:p>
        </w:tc>
        <w:tc>
          <w:tcPr>
            <w:tcW w:w="3420" w:type="dxa"/>
          </w:tcPr>
          <w:p w:rsidR="00FE36F6" w:rsidRPr="00B06076" w:rsidRDefault="00B2551B" w:rsidP="00B2551B">
            <w:pPr>
              <w:pStyle w:val="ListParagraph"/>
              <w:numPr>
                <w:ilvl w:val="0"/>
                <w:numId w:val="4"/>
              </w:numPr>
              <w:rPr>
                <w:sz w:val="23"/>
                <w:szCs w:val="23"/>
              </w:rPr>
            </w:pPr>
            <w:r w:rsidRPr="00B06076">
              <w:rPr>
                <w:sz w:val="23"/>
                <w:szCs w:val="23"/>
              </w:rPr>
              <w:t>Implement the Communications Plan with tangible ac</w:t>
            </w:r>
            <w:r w:rsidR="006C3CB6" w:rsidRPr="00B06076">
              <w:rPr>
                <w:sz w:val="23"/>
                <w:szCs w:val="23"/>
              </w:rPr>
              <w:t xml:space="preserve">hievement by March </w:t>
            </w:r>
            <w:r w:rsidRPr="00B06076">
              <w:rPr>
                <w:sz w:val="23"/>
                <w:szCs w:val="23"/>
              </w:rPr>
              <w:t>2014</w:t>
            </w:r>
            <w:r w:rsidR="006C3CB6" w:rsidRPr="00B06076">
              <w:rPr>
                <w:sz w:val="23"/>
                <w:szCs w:val="23"/>
              </w:rPr>
              <w:t xml:space="preserve"> and full implementation by March</w:t>
            </w:r>
            <w:r w:rsidRPr="00B06076">
              <w:rPr>
                <w:sz w:val="23"/>
                <w:szCs w:val="23"/>
              </w:rPr>
              <w:t xml:space="preserve"> 2015.</w:t>
            </w:r>
          </w:p>
          <w:p w:rsidR="00B2551B" w:rsidRPr="00B06076" w:rsidRDefault="008E1DB8" w:rsidP="00B2551B">
            <w:pPr>
              <w:pStyle w:val="ListParagraph"/>
              <w:numPr>
                <w:ilvl w:val="0"/>
                <w:numId w:val="4"/>
              </w:numPr>
              <w:rPr>
                <w:sz w:val="23"/>
                <w:szCs w:val="23"/>
              </w:rPr>
            </w:pPr>
            <w:r w:rsidRPr="00B06076">
              <w:rPr>
                <w:sz w:val="23"/>
                <w:szCs w:val="23"/>
              </w:rPr>
              <w:t>Retain membership at 90</w:t>
            </w:r>
            <w:r w:rsidR="00590307" w:rsidRPr="00B06076">
              <w:rPr>
                <w:sz w:val="23"/>
                <w:szCs w:val="23"/>
              </w:rPr>
              <w:t>% level</w:t>
            </w:r>
            <w:r w:rsidR="00B2551B" w:rsidRPr="00B06076">
              <w:rPr>
                <w:sz w:val="23"/>
                <w:szCs w:val="23"/>
              </w:rPr>
              <w:t>.</w:t>
            </w:r>
          </w:p>
          <w:p w:rsidR="00B2551B" w:rsidRPr="00B06076" w:rsidRDefault="00590307" w:rsidP="00B2551B">
            <w:pPr>
              <w:pStyle w:val="ListParagraph"/>
              <w:numPr>
                <w:ilvl w:val="0"/>
                <w:numId w:val="4"/>
              </w:numPr>
              <w:rPr>
                <w:sz w:val="23"/>
                <w:szCs w:val="23"/>
              </w:rPr>
            </w:pPr>
            <w:r w:rsidRPr="00B06076">
              <w:rPr>
                <w:sz w:val="23"/>
                <w:szCs w:val="23"/>
              </w:rPr>
              <w:t>Recruit 40</w:t>
            </w:r>
            <w:r w:rsidR="00B2551B" w:rsidRPr="00B06076">
              <w:rPr>
                <w:sz w:val="23"/>
                <w:szCs w:val="23"/>
              </w:rPr>
              <w:t xml:space="preserve"> new members</w:t>
            </w:r>
            <w:r w:rsidRPr="00B06076">
              <w:rPr>
                <w:sz w:val="23"/>
                <w:szCs w:val="23"/>
              </w:rPr>
              <w:t xml:space="preserve"> by December 2014</w:t>
            </w:r>
            <w:r w:rsidR="00B2551B" w:rsidRPr="00B06076">
              <w:rPr>
                <w:sz w:val="23"/>
                <w:szCs w:val="23"/>
              </w:rPr>
              <w:t>.</w:t>
            </w:r>
          </w:p>
          <w:p w:rsidR="00B2551B" w:rsidRPr="00B06076" w:rsidRDefault="00B2551B" w:rsidP="006C3CB6">
            <w:pPr>
              <w:rPr>
                <w:sz w:val="23"/>
                <w:szCs w:val="23"/>
              </w:rPr>
            </w:pPr>
          </w:p>
        </w:tc>
      </w:tr>
    </w:tbl>
    <w:p w:rsidR="00FE36F6" w:rsidRPr="00FE36F6" w:rsidRDefault="00FE36F6" w:rsidP="00B06076">
      <w:pPr>
        <w:spacing w:after="0"/>
        <w:rPr>
          <w:b/>
        </w:rPr>
      </w:pPr>
    </w:p>
    <w:sectPr w:rsidR="00FE36F6" w:rsidRPr="00FE36F6" w:rsidSect="003954D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2F" w:rsidRDefault="00181B2F" w:rsidP="003954D8">
      <w:pPr>
        <w:spacing w:after="0" w:line="240" w:lineRule="auto"/>
      </w:pPr>
      <w:r>
        <w:separator/>
      </w:r>
    </w:p>
  </w:endnote>
  <w:endnote w:type="continuationSeparator" w:id="0">
    <w:p w:rsidR="00181B2F" w:rsidRDefault="00181B2F"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179D4" w:rsidRDefault="006179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954D8" w:rsidRDefault="003954D8">
    <w:pPr>
      <w:pStyle w:val="Footer"/>
    </w:pPr>
    <w:r>
      <w:t>Draft Working Document:  Not for distribution 1031013</w:t>
    </w:r>
  </w:p>
  <w:p w:rsidR="003954D8" w:rsidRDefault="003954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179D4" w:rsidRDefault="006179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2F" w:rsidRDefault="00181B2F" w:rsidP="003954D8">
      <w:pPr>
        <w:spacing w:after="0" w:line="240" w:lineRule="auto"/>
      </w:pPr>
      <w:r>
        <w:separator/>
      </w:r>
    </w:p>
  </w:footnote>
  <w:footnote w:type="continuationSeparator" w:id="0">
    <w:p w:rsidR="00181B2F" w:rsidRDefault="00181B2F" w:rsidP="00395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179D4" w:rsidRDefault="006179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7483992"/>
      <w:docPartObj>
        <w:docPartGallery w:val="Watermarks"/>
        <w:docPartUnique/>
      </w:docPartObj>
    </w:sdtPr>
    <w:sdtEndPr/>
    <w:sdtContent>
      <w:p w:rsidR="003954D8" w:rsidRDefault="00181B2F">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875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179D4" w:rsidRDefault="006179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322F40"/>
    <w:multiLevelType w:val="hybridMultilevel"/>
    <w:tmpl w:val="71B47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6"/>
    <w:rsid w:val="000F0421"/>
    <w:rsid w:val="001755CA"/>
    <w:rsid w:val="00181B2F"/>
    <w:rsid w:val="0023169F"/>
    <w:rsid w:val="002743BB"/>
    <w:rsid w:val="002A5D71"/>
    <w:rsid w:val="003954D8"/>
    <w:rsid w:val="003D592A"/>
    <w:rsid w:val="00590307"/>
    <w:rsid w:val="00597918"/>
    <w:rsid w:val="006179D4"/>
    <w:rsid w:val="00621C6C"/>
    <w:rsid w:val="00656DEB"/>
    <w:rsid w:val="00661108"/>
    <w:rsid w:val="006C28D8"/>
    <w:rsid w:val="006C3CB6"/>
    <w:rsid w:val="00860B25"/>
    <w:rsid w:val="008E1DB8"/>
    <w:rsid w:val="009862D8"/>
    <w:rsid w:val="00A15B0B"/>
    <w:rsid w:val="00A91FDF"/>
    <w:rsid w:val="00B06076"/>
    <w:rsid w:val="00B2551B"/>
    <w:rsid w:val="00BB57A5"/>
    <w:rsid w:val="00E44E3E"/>
    <w:rsid w:val="00EA3CCB"/>
    <w:rsid w:val="00ED1675"/>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1760</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Mark Davis</cp:lastModifiedBy>
  <cp:revision>2</cp:revision>
  <cp:lastPrinted>2013-11-04T16:51:00Z</cp:lastPrinted>
  <dcterms:created xsi:type="dcterms:W3CDTF">2013-11-26T15:34:00Z</dcterms:created>
  <dcterms:modified xsi:type="dcterms:W3CDTF">2013-11-26T15:34:00Z</dcterms:modified>
</cp:coreProperties>
</file>