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301" w:rsidRDefault="00DC3301" w:rsidP="004757C7">
      <w:pPr>
        <w:tabs>
          <w:tab w:val="left" w:pos="360"/>
        </w:tabs>
        <w:jc w:val="center"/>
        <w:rPr>
          <w:rFonts w:asciiTheme="majorHAnsi" w:hAnsiTheme="majorHAnsi"/>
          <w:b/>
        </w:rPr>
      </w:pPr>
    </w:p>
    <w:p w:rsidR="00FD7FA1" w:rsidRDefault="004757C7" w:rsidP="004757C7">
      <w:pPr>
        <w:tabs>
          <w:tab w:val="left" w:pos="360"/>
        </w:tabs>
        <w:jc w:val="center"/>
        <w:rPr>
          <w:rFonts w:asciiTheme="majorHAnsi" w:hAnsiTheme="majorHAnsi"/>
          <w:b/>
        </w:rPr>
      </w:pPr>
      <w:r>
        <w:rPr>
          <w:rFonts w:asciiTheme="majorHAnsi" w:hAnsiTheme="majorHAnsi"/>
          <w:b/>
        </w:rPr>
        <w:t>OPRA Member Services</w:t>
      </w:r>
    </w:p>
    <w:p w:rsidR="004757C7" w:rsidRDefault="004757C7" w:rsidP="004757C7">
      <w:pPr>
        <w:tabs>
          <w:tab w:val="left" w:pos="360"/>
        </w:tabs>
        <w:jc w:val="center"/>
        <w:rPr>
          <w:rFonts w:asciiTheme="majorHAnsi" w:hAnsiTheme="majorHAnsi"/>
          <w:b/>
        </w:rPr>
      </w:pPr>
      <w:r>
        <w:rPr>
          <w:rFonts w:asciiTheme="majorHAnsi" w:hAnsiTheme="majorHAnsi"/>
          <w:b/>
        </w:rPr>
        <w:t>Relias Learning Vendor Partner Proposal</w:t>
      </w:r>
    </w:p>
    <w:p w:rsidR="004757C7" w:rsidRDefault="004757C7" w:rsidP="004757C7">
      <w:pPr>
        <w:tabs>
          <w:tab w:val="left" w:pos="360"/>
        </w:tabs>
        <w:jc w:val="center"/>
        <w:rPr>
          <w:rFonts w:asciiTheme="majorHAnsi" w:hAnsiTheme="majorHAnsi"/>
          <w:b/>
        </w:rPr>
      </w:pPr>
    </w:p>
    <w:p w:rsidR="004757C7" w:rsidRDefault="004757C7" w:rsidP="004757C7">
      <w:pPr>
        <w:tabs>
          <w:tab w:val="left" w:pos="360"/>
        </w:tabs>
        <w:rPr>
          <w:rFonts w:asciiTheme="majorHAnsi" w:hAnsiTheme="majorHAnsi"/>
          <w:b/>
        </w:rPr>
      </w:pPr>
      <w:r>
        <w:rPr>
          <w:rFonts w:asciiTheme="majorHAnsi" w:hAnsiTheme="majorHAnsi"/>
          <w:b/>
        </w:rPr>
        <w:t xml:space="preserve">Relias Learning is one of 4 training programs approved by DODD that qualifies for the competency based add-on. The Member Services Committee has been meeting with Relias representatives </w:t>
      </w:r>
      <w:r w:rsidR="008032FE">
        <w:rPr>
          <w:rFonts w:asciiTheme="majorHAnsi" w:hAnsiTheme="majorHAnsi"/>
          <w:b/>
        </w:rPr>
        <w:t>for a couple of months. In our discussions, it became apparent that we could not enter into a traditional vendor agreement resulting in royalties, as Relias has a royalty arrangement with ANCOR. A sub-agreement with OPRA would present a conflict of interest. Undeterred, we went back to the drawing board. Below is a summary of a partnership proposal.</w:t>
      </w:r>
    </w:p>
    <w:p w:rsidR="008032FE" w:rsidRDefault="008032FE" w:rsidP="004757C7">
      <w:pPr>
        <w:tabs>
          <w:tab w:val="left" w:pos="360"/>
        </w:tabs>
        <w:rPr>
          <w:rFonts w:asciiTheme="majorHAnsi" w:hAnsiTheme="majorHAnsi"/>
          <w:b/>
        </w:rPr>
      </w:pPr>
    </w:p>
    <w:p w:rsidR="00A37873" w:rsidRPr="00A37873" w:rsidRDefault="00A37873" w:rsidP="005A344B">
      <w:pPr>
        <w:pStyle w:val="ListParagraph"/>
        <w:numPr>
          <w:ilvl w:val="0"/>
          <w:numId w:val="2"/>
        </w:numPr>
        <w:tabs>
          <w:tab w:val="left" w:pos="360"/>
        </w:tabs>
        <w:rPr>
          <w:rFonts w:asciiTheme="majorHAnsi" w:hAnsiTheme="majorHAnsi"/>
          <w:b/>
        </w:rPr>
      </w:pPr>
      <w:r w:rsidRPr="00A37873">
        <w:rPr>
          <w:rFonts w:asciiTheme="majorHAnsi" w:hAnsiTheme="majorHAnsi"/>
          <w:b/>
        </w:rPr>
        <w:t>Relias will be a Platinum Sponsor at all OPRA conferences</w:t>
      </w:r>
    </w:p>
    <w:p w:rsidR="00A37873" w:rsidRDefault="00A37873" w:rsidP="008032FE">
      <w:pPr>
        <w:pStyle w:val="ListParagraph"/>
        <w:numPr>
          <w:ilvl w:val="0"/>
          <w:numId w:val="2"/>
        </w:numPr>
        <w:tabs>
          <w:tab w:val="left" w:pos="360"/>
        </w:tabs>
        <w:rPr>
          <w:rFonts w:asciiTheme="majorHAnsi" w:hAnsiTheme="majorHAnsi"/>
          <w:b/>
        </w:rPr>
      </w:pPr>
      <w:r>
        <w:rPr>
          <w:rFonts w:asciiTheme="majorHAnsi" w:hAnsiTheme="majorHAnsi"/>
          <w:b/>
        </w:rPr>
        <w:t>There will be a tiered pricing approach based on the number of staff at participating agencies. Currently there are f</w:t>
      </w:r>
      <w:r w:rsidR="00920540">
        <w:rPr>
          <w:rFonts w:asciiTheme="majorHAnsi" w:hAnsiTheme="majorHAnsi"/>
          <w:b/>
        </w:rPr>
        <w:t>ive</w:t>
      </w:r>
      <w:r>
        <w:rPr>
          <w:rFonts w:asciiTheme="majorHAnsi" w:hAnsiTheme="majorHAnsi"/>
          <w:b/>
        </w:rPr>
        <w:t xml:space="preserve"> OPRA</w:t>
      </w:r>
      <w:r w:rsidR="00920540">
        <w:rPr>
          <w:rFonts w:asciiTheme="majorHAnsi" w:hAnsiTheme="majorHAnsi"/>
          <w:b/>
        </w:rPr>
        <w:t xml:space="preserve"> </w:t>
      </w:r>
      <w:r>
        <w:rPr>
          <w:rFonts w:asciiTheme="majorHAnsi" w:hAnsiTheme="majorHAnsi"/>
          <w:b/>
        </w:rPr>
        <w:t>customers with 1,200 users. The 1,200 count towards the tiered proposal</w:t>
      </w:r>
    </w:p>
    <w:p w:rsidR="00A37873" w:rsidRDefault="00920540" w:rsidP="008032FE">
      <w:pPr>
        <w:pStyle w:val="ListParagraph"/>
        <w:numPr>
          <w:ilvl w:val="0"/>
          <w:numId w:val="2"/>
        </w:numPr>
        <w:tabs>
          <w:tab w:val="left" w:pos="360"/>
        </w:tabs>
        <w:rPr>
          <w:rFonts w:asciiTheme="majorHAnsi" w:hAnsiTheme="majorHAnsi"/>
          <w:b/>
        </w:rPr>
      </w:pPr>
      <w:r>
        <w:rPr>
          <w:rFonts w:asciiTheme="majorHAnsi" w:hAnsiTheme="majorHAnsi"/>
          <w:b/>
        </w:rPr>
        <w:t>5,000 users/$4 per person per month</w:t>
      </w:r>
    </w:p>
    <w:p w:rsidR="00920540" w:rsidRDefault="00920540" w:rsidP="008032FE">
      <w:pPr>
        <w:pStyle w:val="ListParagraph"/>
        <w:numPr>
          <w:ilvl w:val="0"/>
          <w:numId w:val="2"/>
        </w:numPr>
        <w:tabs>
          <w:tab w:val="left" w:pos="360"/>
        </w:tabs>
        <w:rPr>
          <w:rFonts w:asciiTheme="majorHAnsi" w:hAnsiTheme="majorHAnsi"/>
          <w:b/>
        </w:rPr>
      </w:pPr>
      <w:r>
        <w:rPr>
          <w:rFonts w:asciiTheme="majorHAnsi" w:hAnsiTheme="majorHAnsi"/>
          <w:b/>
        </w:rPr>
        <w:t>7,500 users/$3.50 per person per month</w:t>
      </w:r>
    </w:p>
    <w:p w:rsidR="00920540" w:rsidRDefault="00920540" w:rsidP="008032FE">
      <w:pPr>
        <w:pStyle w:val="ListParagraph"/>
        <w:numPr>
          <w:ilvl w:val="0"/>
          <w:numId w:val="2"/>
        </w:numPr>
        <w:tabs>
          <w:tab w:val="left" w:pos="360"/>
        </w:tabs>
        <w:rPr>
          <w:rFonts w:asciiTheme="majorHAnsi" w:hAnsiTheme="majorHAnsi"/>
          <w:b/>
        </w:rPr>
      </w:pPr>
      <w:r>
        <w:rPr>
          <w:rFonts w:asciiTheme="majorHAnsi" w:hAnsiTheme="majorHAnsi"/>
          <w:b/>
        </w:rPr>
        <w:t>10,000 users/$3.25 per person per month</w:t>
      </w:r>
    </w:p>
    <w:p w:rsidR="00920540" w:rsidRDefault="00920540" w:rsidP="008032FE">
      <w:pPr>
        <w:pStyle w:val="ListParagraph"/>
        <w:numPr>
          <w:ilvl w:val="0"/>
          <w:numId w:val="2"/>
        </w:numPr>
        <w:tabs>
          <w:tab w:val="left" w:pos="360"/>
        </w:tabs>
        <w:rPr>
          <w:rFonts w:asciiTheme="majorHAnsi" w:hAnsiTheme="majorHAnsi"/>
          <w:b/>
        </w:rPr>
      </w:pPr>
      <w:r>
        <w:rPr>
          <w:rFonts w:asciiTheme="majorHAnsi" w:hAnsiTheme="majorHAnsi"/>
          <w:b/>
        </w:rPr>
        <w:t>All pricing includes a 15% partnership discount for OPRA members</w:t>
      </w:r>
    </w:p>
    <w:p w:rsidR="00920540" w:rsidRDefault="00920540" w:rsidP="00920540">
      <w:pPr>
        <w:tabs>
          <w:tab w:val="left" w:pos="360"/>
        </w:tabs>
        <w:rPr>
          <w:rFonts w:asciiTheme="majorHAnsi" w:hAnsiTheme="majorHAnsi"/>
          <w:b/>
        </w:rPr>
      </w:pPr>
    </w:p>
    <w:p w:rsidR="00920540" w:rsidRDefault="00920540" w:rsidP="00920540">
      <w:pPr>
        <w:tabs>
          <w:tab w:val="left" w:pos="360"/>
        </w:tabs>
        <w:rPr>
          <w:rFonts w:asciiTheme="majorHAnsi" w:hAnsiTheme="majorHAnsi"/>
          <w:b/>
        </w:rPr>
      </w:pPr>
      <w:r>
        <w:rPr>
          <w:rFonts w:asciiTheme="majorHAnsi" w:hAnsiTheme="majorHAnsi"/>
          <w:b/>
        </w:rPr>
        <w:t xml:space="preserve">All prices result in a substantial discount over current pricing. June 30 is the target date. The five members currently using Relias would receive a savings of $40,000. </w:t>
      </w:r>
      <w:r w:rsidR="006F0A73">
        <w:rPr>
          <w:rFonts w:asciiTheme="majorHAnsi" w:hAnsiTheme="majorHAnsi"/>
          <w:b/>
        </w:rPr>
        <w:t xml:space="preserve">Since we already have 1,200 Relias users, we will need an additional 3,800 to qualify for the first tiered discount. </w:t>
      </w:r>
      <w:r>
        <w:rPr>
          <w:rFonts w:asciiTheme="majorHAnsi" w:hAnsiTheme="majorHAnsi"/>
          <w:b/>
        </w:rPr>
        <w:t>We feel this is the optimal time to enter into an agreement with Relias, as providers are just now starting to think about how they will assist staff in obtaining the add-on. Relias also offered to push OPRA membership when meeting with non-members and to offer only regular pricing to non-member agencies.</w:t>
      </w:r>
    </w:p>
    <w:p w:rsidR="00920540" w:rsidRDefault="00920540" w:rsidP="00920540">
      <w:pPr>
        <w:tabs>
          <w:tab w:val="left" w:pos="360"/>
        </w:tabs>
        <w:rPr>
          <w:rFonts w:asciiTheme="majorHAnsi" w:hAnsiTheme="majorHAnsi"/>
          <w:b/>
        </w:rPr>
      </w:pPr>
    </w:p>
    <w:p w:rsidR="00920540" w:rsidRPr="00920540" w:rsidRDefault="00920540" w:rsidP="00920540">
      <w:pPr>
        <w:tabs>
          <w:tab w:val="left" w:pos="360"/>
        </w:tabs>
        <w:rPr>
          <w:rFonts w:asciiTheme="majorHAnsi" w:hAnsiTheme="majorHAnsi"/>
          <w:b/>
        </w:rPr>
      </w:pPr>
      <w:r>
        <w:rPr>
          <w:rFonts w:asciiTheme="majorHAnsi" w:hAnsiTheme="majorHAnsi"/>
          <w:b/>
        </w:rPr>
        <w:t>The Member Services</w:t>
      </w:r>
      <w:r w:rsidR="005D22BF">
        <w:rPr>
          <w:rFonts w:asciiTheme="majorHAnsi" w:hAnsiTheme="majorHAnsi"/>
          <w:b/>
        </w:rPr>
        <w:t xml:space="preserve"> Committee recommends entering i</w:t>
      </w:r>
      <w:r>
        <w:rPr>
          <w:rFonts w:asciiTheme="majorHAnsi" w:hAnsiTheme="majorHAnsi"/>
          <w:b/>
        </w:rPr>
        <w:t>nto an agreement with Relias Learning.</w:t>
      </w:r>
    </w:p>
    <w:sectPr w:rsidR="00920540" w:rsidRPr="00920540" w:rsidSect="00580CF5">
      <w:footerReference w:type="default" r:id="rId8"/>
      <w:headerReference w:type="first" r:id="rId9"/>
      <w:footerReference w:type="first" r:id="rId10"/>
      <w:pgSz w:w="12240" w:h="15840" w:code="1"/>
      <w:pgMar w:top="2970" w:right="1800" w:bottom="1440" w:left="1800" w:header="14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BFD" w:rsidRDefault="00817BFD" w:rsidP="005A650E">
      <w:r>
        <w:separator/>
      </w:r>
    </w:p>
  </w:endnote>
  <w:endnote w:type="continuationSeparator" w:id="0">
    <w:p w:rsidR="00817BFD" w:rsidRDefault="00817BFD"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CF5" w:rsidRPr="007B51B0" w:rsidRDefault="00580CF5" w:rsidP="00580CF5">
    <w:pPr>
      <w:pStyle w:val="Footer"/>
      <w:ind w:left="-720"/>
      <w:jc w:val="center"/>
      <w:rPr>
        <w:rFonts w:ascii="Calibri" w:eastAsiaTheme="minorHAnsi" w:hAnsi="Calibri" w:cstheme="majorBidi"/>
        <w:b/>
        <w:color w:val="365F91" w:themeColor="accent1" w:themeShade="BF"/>
        <w:spacing w:val="-3"/>
        <w:sz w:val="20"/>
        <w:szCs w:val="20"/>
      </w:rPr>
    </w:pPr>
    <w:r w:rsidRPr="007B51B0">
      <w:rPr>
        <w:rFonts w:ascii="Calibri" w:eastAsiaTheme="minorHAnsi" w:hAnsi="Calibri" w:cstheme="majorBidi"/>
        <w:b/>
        <w:color w:val="365F91" w:themeColor="accent1" w:themeShade="BF"/>
        <w:spacing w:val="-3"/>
        <w:sz w:val="20"/>
        <w:szCs w:val="20"/>
      </w:rPr>
      <w:t>614-224-</w:t>
    </w:r>
    <w:proofErr w:type="gramStart"/>
    <w:r w:rsidRPr="007B51B0">
      <w:rPr>
        <w:rFonts w:ascii="Calibri" w:eastAsiaTheme="minorHAnsi" w:hAnsi="Calibri" w:cstheme="majorBidi"/>
        <w:b/>
        <w:color w:val="365F91" w:themeColor="accent1" w:themeShade="BF"/>
        <w:spacing w:val="-3"/>
        <w:sz w:val="20"/>
        <w:szCs w:val="20"/>
      </w:rPr>
      <w:t>6772  •</w:t>
    </w:r>
    <w:proofErr w:type="gramEnd"/>
    <w:r w:rsidRPr="007B51B0">
      <w:rPr>
        <w:rFonts w:ascii="Calibri" w:eastAsiaTheme="minorHAnsi" w:hAnsi="Calibri" w:cstheme="majorBidi"/>
        <w:b/>
        <w:color w:val="365F91" w:themeColor="accent1" w:themeShade="BF"/>
        <w:spacing w:val="-3"/>
        <w:sz w:val="20"/>
        <w:szCs w:val="20"/>
      </w:rPr>
      <w:t xml:space="preserve">  Fax 614-224-3340  •  1152 Goodale Blvd  •  Columbus, OH 43212  •  www.opra.org</w:t>
    </w:r>
  </w:p>
  <w:p w:rsidR="00580CF5" w:rsidRDefault="00580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59" w:rsidRPr="007B51B0" w:rsidRDefault="00F76959" w:rsidP="00580CF5">
    <w:pPr>
      <w:pStyle w:val="Footer"/>
      <w:ind w:left="-720"/>
      <w:jc w:val="center"/>
      <w:rPr>
        <w:rFonts w:ascii="Calibri" w:eastAsiaTheme="minorHAnsi" w:hAnsi="Calibri" w:cstheme="majorBidi"/>
        <w:b/>
        <w:color w:val="365F91" w:themeColor="accent1" w:themeShade="BF"/>
        <w:spacing w:val="-3"/>
        <w:sz w:val="20"/>
        <w:szCs w:val="20"/>
      </w:rPr>
    </w:pPr>
    <w:r w:rsidRPr="007B51B0">
      <w:rPr>
        <w:rFonts w:ascii="Calibri" w:eastAsiaTheme="minorHAnsi" w:hAnsi="Calibri" w:cstheme="majorBidi"/>
        <w:b/>
        <w:color w:val="365F91" w:themeColor="accent1" w:themeShade="BF"/>
        <w:spacing w:val="-3"/>
        <w:sz w:val="20"/>
        <w:szCs w:val="20"/>
      </w:rPr>
      <w:t>614-224-</w:t>
    </w:r>
    <w:proofErr w:type="gramStart"/>
    <w:r w:rsidRPr="007B51B0">
      <w:rPr>
        <w:rFonts w:ascii="Calibri" w:eastAsiaTheme="minorHAnsi" w:hAnsi="Calibri" w:cstheme="majorBidi"/>
        <w:b/>
        <w:color w:val="365F91" w:themeColor="accent1" w:themeShade="BF"/>
        <w:spacing w:val="-3"/>
        <w:sz w:val="20"/>
        <w:szCs w:val="20"/>
      </w:rPr>
      <w:t>6772  •</w:t>
    </w:r>
    <w:proofErr w:type="gramEnd"/>
    <w:r w:rsidRPr="007B51B0">
      <w:rPr>
        <w:rFonts w:ascii="Calibri" w:eastAsiaTheme="minorHAnsi" w:hAnsi="Calibri" w:cstheme="majorBidi"/>
        <w:b/>
        <w:color w:val="365F91" w:themeColor="accent1" w:themeShade="BF"/>
        <w:spacing w:val="-3"/>
        <w:sz w:val="20"/>
        <w:szCs w:val="20"/>
      </w:rPr>
      <w:t xml:space="preserve">  Fax 614-224-3340  •  1152 Goodale Blvd  •  Columbus, OH 43212  •  www.opra.org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BFD" w:rsidRDefault="00817BFD" w:rsidP="005A650E">
      <w:r>
        <w:separator/>
      </w:r>
    </w:p>
  </w:footnote>
  <w:footnote w:type="continuationSeparator" w:id="0">
    <w:p w:rsidR="00817BFD" w:rsidRDefault="00817BFD" w:rsidP="005A6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59" w:rsidRDefault="00F76959" w:rsidP="00C05E7C">
    <w:pPr>
      <w:ind w:left="-1440"/>
    </w:pPr>
    <w:r w:rsidRPr="00B848A7">
      <w:rPr>
        <w:noProof/>
      </w:rPr>
      <w:drawing>
        <wp:anchor distT="0" distB="0" distL="114300" distR="114300" simplePos="0" relativeHeight="251681792" behindDoc="0" locked="0" layoutInCell="1" allowOverlap="1" wp14:anchorId="1F24D7F8" wp14:editId="637E0BF9">
          <wp:simplePos x="0" y="0"/>
          <wp:positionH relativeFrom="page">
            <wp:posOffset>381000</wp:posOffset>
          </wp:positionH>
          <wp:positionV relativeFrom="page">
            <wp:posOffset>533400</wp:posOffset>
          </wp:positionV>
          <wp:extent cx="1638300" cy="904875"/>
          <wp:effectExtent l="19050" t="0" r="0" b="0"/>
          <wp:wrapSquare wrapText="bothSides"/>
          <wp:docPr id="24"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1"/>
                  <a:stretch>
                    <a:fillRect/>
                  </a:stretch>
                </pic:blipFill>
                <pic:spPr>
                  <a:xfrm>
                    <a:off x="0" y="0"/>
                    <a:ext cx="1638300" cy="904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53F368B"/>
    <w:multiLevelType w:val="hybridMultilevel"/>
    <w:tmpl w:val="571A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0E"/>
    <w:rsid w:val="000622DD"/>
    <w:rsid w:val="0008095E"/>
    <w:rsid w:val="000E124F"/>
    <w:rsid w:val="000F6040"/>
    <w:rsid w:val="001100B0"/>
    <w:rsid w:val="001456BA"/>
    <w:rsid w:val="00150BE6"/>
    <w:rsid w:val="0015394C"/>
    <w:rsid w:val="001914E3"/>
    <w:rsid w:val="001B09DF"/>
    <w:rsid w:val="001B57E7"/>
    <w:rsid w:val="002014B3"/>
    <w:rsid w:val="00224AE8"/>
    <w:rsid w:val="00283177"/>
    <w:rsid w:val="002F347D"/>
    <w:rsid w:val="003115CA"/>
    <w:rsid w:val="003C3841"/>
    <w:rsid w:val="003E1C26"/>
    <w:rsid w:val="003E5764"/>
    <w:rsid w:val="003F127B"/>
    <w:rsid w:val="0040492C"/>
    <w:rsid w:val="00437767"/>
    <w:rsid w:val="00444A8A"/>
    <w:rsid w:val="00454DDC"/>
    <w:rsid w:val="00464D5E"/>
    <w:rsid w:val="004757C7"/>
    <w:rsid w:val="004834FE"/>
    <w:rsid w:val="00493153"/>
    <w:rsid w:val="00495801"/>
    <w:rsid w:val="004D2FAD"/>
    <w:rsid w:val="004D4D80"/>
    <w:rsid w:val="004F2700"/>
    <w:rsid w:val="005367AB"/>
    <w:rsid w:val="00560E1D"/>
    <w:rsid w:val="00565676"/>
    <w:rsid w:val="00575823"/>
    <w:rsid w:val="00580CF5"/>
    <w:rsid w:val="00590433"/>
    <w:rsid w:val="005A650E"/>
    <w:rsid w:val="005D22BF"/>
    <w:rsid w:val="005D65F4"/>
    <w:rsid w:val="005E599A"/>
    <w:rsid w:val="00632600"/>
    <w:rsid w:val="00634351"/>
    <w:rsid w:val="00644D8E"/>
    <w:rsid w:val="006600E1"/>
    <w:rsid w:val="006A3ECD"/>
    <w:rsid w:val="006D39C1"/>
    <w:rsid w:val="006F0A73"/>
    <w:rsid w:val="0072531B"/>
    <w:rsid w:val="00770673"/>
    <w:rsid w:val="00780CAB"/>
    <w:rsid w:val="007850A8"/>
    <w:rsid w:val="007B4A54"/>
    <w:rsid w:val="007B51B0"/>
    <w:rsid w:val="007B73CB"/>
    <w:rsid w:val="007E6501"/>
    <w:rsid w:val="008032FE"/>
    <w:rsid w:val="008065C7"/>
    <w:rsid w:val="00817BFD"/>
    <w:rsid w:val="00863A64"/>
    <w:rsid w:val="00877AD1"/>
    <w:rsid w:val="008A3B3A"/>
    <w:rsid w:val="0091691A"/>
    <w:rsid w:val="00920540"/>
    <w:rsid w:val="00922E4E"/>
    <w:rsid w:val="009376D4"/>
    <w:rsid w:val="00937917"/>
    <w:rsid w:val="009F3A63"/>
    <w:rsid w:val="009F538A"/>
    <w:rsid w:val="00A074CE"/>
    <w:rsid w:val="00A137F9"/>
    <w:rsid w:val="00A37873"/>
    <w:rsid w:val="00A93673"/>
    <w:rsid w:val="00B22F8D"/>
    <w:rsid w:val="00B42262"/>
    <w:rsid w:val="00B5477B"/>
    <w:rsid w:val="00B57501"/>
    <w:rsid w:val="00B60F05"/>
    <w:rsid w:val="00B62FA4"/>
    <w:rsid w:val="00B848A7"/>
    <w:rsid w:val="00B961AB"/>
    <w:rsid w:val="00BD05AB"/>
    <w:rsid w:val="00BD536B"/>
    <w:rsid w:val="00C05E7C"/>
    <w:rsid w:val="00C07117"/>
    <w:rsid w:val="00C27D04"/>
    <w:rsid w:val="00C50F3A"/>
    <w:rsid w:val="00C53606"/>
    <w:rsid w:val="00C97214"/>
    <w:rsid w:val="00D3756C"/>
    <w:rsid w:val="00DA1DA2"/>
    <w:rsid w:val="00DB33F4"/>
    <w:rsid w:val="00DC3301"/>
    <w:rsid w:val="00DD7560"/>
    <w:rsid w:val="00DF4C96"/>
    <w:rsid w:val="00E47FD9"/>
    <w:rsid w:val="00E56023"/>
    <w:rsid w:val="00EA5A95"/>
    <w:rsid w:val="00EC5951"/>
    <w:rsid w:val="00ED0A06"/>
    <w:rsid w:val="00F12FBB"/>
    <w:rsid w:val="00F70B0C"/>
    <w:rsid w:val="00F76959"/>
    <w:rsid w:val="00FC2EBC"/>
    <w:rsid w:val="00FD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0B0C42-1300-47BE-B8AA-3A8AB565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ajorBidi"/>
        <w:sz w:val="28"/>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ListParagraph">
    <w:name w:val="List Paragraph"/>
    <w:basedOn w:val="Normal"/>
    <w:uiPriority w:val="34"/>
    <w:qFormat/>
    <w:rsid w:val="00803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1FC00-41A7-469C-A47D-9B2F948A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Anita Allen</cp:lastModifiedBy>
  <cp:revision>4</cp:revision>
  <cp:lastPrinted>2018-04-16T17:11:00Z</cp:lastPrinted>
  <dcterms:created xsi:type="dcterms:W3CDTF">2018-04-16T16:50:00Z</dcterms:created>
  <dcterms:modified xsi:type="dcterms:W3CDTF">2018-04-16T17:49:00Z</dcterms:modified>
</cp:coreProperties>
</file>