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05CE">
        <w:rPr>
          <w:rFonts w:ascii="Times New Roman" w:eastAsia="Times New Roman" w:hAnsi="Times New Roman" w:cs="Times New Roman"/>
          <w:b/>
          <w:bCs/>
          <w:sz w:val="24"/>
          <w:szCs w:val="24"/>
        </w:rPr>
        <w:t>Section 309.30.80.</w:t>
      </w:r>
      <w:proofErr w:type="gramEnd"/>
      <w:r w:rsidRPr="007605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 STUDY OF ICF/MR ISSUES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(A) As used in this section: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"Home and community-based services" has the same meaning as in section 5123.01 of the Revised Code.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"ICF/MR" means an intermediate care facility for the mentally retarded as defined in section 5111.20 of the Revised Code.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"ICF/MR services" means services covered by the Medicaid program that an ICF/MR provides to a Medicaid recipient eligible for the services.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(B) The Departments of Job and Family Services and Developmental Disabilities shall study issues regarding the administration of, and Medicaid reimbursement for, ICF/MR services. In conducting the study, the Departments shall examine the following: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(1) Revising the Individual Assessment Form Answer Sheet in a manner that provides a more accurate assessment of the acuity and care needs of individuals who need ICF/MR services, especially the acuity and care needs of such individuals who have intensive behavioral or medical needs;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(2) Revising the Medicaid reimbursement formula for ICF/MR services to accomplish the following: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(a) Ensure that reimbursement for capital costs is adequate for maintaining the capital assets of ICFs/MR in a manner that promotes the well being of the residents;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(b) Provide capital incentives for reducing the capacity of ICFs/MR as necessary to achieve goals regarding the optimal capacity of ICFs/MR;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(c) Ensure that wages paid individuals who provide direct care services to ICF/MR residents are sufficient for ICFs/MR to meet staffing and quality requirements;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(d) Provide incentives for high quality services;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(e) Achieve other goals developed for the purpose of improving the appropriateness and sufficiency of Medicaid reimbursements for ICF/MR services.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(3) Transferring the powers and duties regarding ICF/MR services from the Department of Job and Family Services to the Department of Developmental Disabilities.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(C) The Departments shall examine the issue of revising the Individual Assessment Form Answer Sheet before examining the issue of revising the Medicaid reimbursement formula for ICF/MR services. Not later than October 1, 2011, the Departments shall prepare a report of the study conducted under this section and submit the report to the Governor and, in accordance with section 101.68 of the Revised Code, the General Assembly.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(D) At the same time that the Departments conduct the study under this section, they shall work with the Governor's Office of Health Transformation and persons interested in the issue of ICF/MR services to develop recommendations regarding the following: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(1) Goals regarding the ratio of home and community-based services and ICF/MR services provided under the Medicaid program that take into account goals regarding the optimal capacity of ICFs/MR;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(2) The roles and responsibilities of both of the following: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 ICFs/MR owned and operated by the Department of Developmental Disabilities;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(b) Providers of home and community-based services.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(3) Simplifying and eliminating duplicate regulations regarding ICFs/MR in a manner that lowers the cost of ICF/MR services. </w:t>
      </w:r>
    </w:p>
    <w:p w:rsidR="007605CE" w:rsidRPr="007605CE" w:rsidRDefault="007605CE" w:rsidP="007605CE">
      <w:pPr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05CE">
        <w:rPr>
          <w:rFonts w:ascii="Times New Roman" w:eastAsia="Times New Roman" w:hAnsi="Times New Roman" w:cs="Times New Roman"/>
          <w:sz w:val="24"/>
          <w:szCs w:val="24"/>
        </w:rPr>
        <w:t xml:space="preserve">(E) The powers and duties regarding ICF/MR services shall not be transferred from the Department of Job and Family Services to the Department of Developmental Disabilities unless a state law is enacted that expressly authorizes the transfer. </w:t>
      </w:r>
    </w:p>
    <w:p w:rsidR="00270FC6" w:rsidRDefault="00270FC6"/>
    <w:sectPr w:rsidR="00270FC6" w:rsidSect="00270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CE"/>
    <w:rsid w:val="00270FC6"/>
    <w:rsid w:val="0076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>Lenovo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2011-04-28T22:32:00Z</dcterms:created>
  <dcterms:modified xsi:type="dcterms:W3CDTF">2011-04-28T22:33:00Z</dcterms:modified>
</cp:coreProperties>
</file>