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B449" w14:textId="687B427C" w:rsidR="00E24CFA" w:rsidRPr="00E24CFA" w:rsidRDefault="00E24CFA" w:rsidP="00E24CFA">
      <w:pPr>
        <w:spacing w:after="0" w:line="240" w:lineRule="auto"/>
        <w:rPr>
          <w:rFonts w:ascii="Calibri" w:eastAsia="Times New Roman" w:hAnsi="Calibri" w:cs="Calibri"/>
          <w:b/>
          <w:bCs/>
          <w:i/>
          <w:iCs/>
          <w:color w:val="000000"/>
          <w:kern w:val="0"/>
          <w14:ligatures w14:val="none"/>
        </w:rPr>
      </w:pPr>
      <w:r w:rsidRPr="00E24CFA">
        <w:rPr>
          <w:rFonts w:ascii="Calibri" w:eastAsia="Times New Roman" w:hAnsi="Calibri" w:cs="Calibri"/>
          <w:b/>
          <w:bCs/>
          <w:i/>
          <w:iCs/>
          <w:color w:val="000000"/>
          <w:kern w:val="0"/>
          <w14:ligatures w14:val="none"/>
        </w:rPr>
        <w:t>Email Anthony Aquillo, The Success Group, sent to House Majority Caucus staff.</w:t>
      </w:r>
    </w:p>
    <w:p w14:paraId="6E6D80DA" w14:textId="77777777" w:rsidR="00E24CFA" w:rsidRDefault="00E24CFA" w:rsidP="00E24CFA">
      <w:pPr>
        <w:spacing w:after="0" w:line="240" w:lineRule="auto"/>
        <w:rPr>
          <w:rFonts w:ascii="Calibri" w:eastAsia="Times New Roman" w:hAnsi="Calibri" w:cs="Calibri"/>
          <w:color w:val="000000"/>
          <w:kern w:val="0"/>
          <w14:ligatures w14:val="none"/>
        </w:rPr>
      </w:pPr>
    </w:p>
    <w:p w14:paraId="5730C615" w14:textId="61BB1B0D" w:rsidR="00E24CFA" w:rsidRPr="00E24CFA" w:rsidRDefault="00E24CFA" w:rsidP="00E24CFA">
      <w:pPr>
        <w:spacing w:after="0" w:line="240" w:lineRule="auto"/>
        <w:rPr>
          <w:rFonts w:ascii="Calibri" w:eastAsia="Times New Roman" w:hAnsi="Calibri" w:cs="Calibri"/>
          <w:color w:val="000000"/>
          <w:kern w:val="0"/>
          <w14:ligatures w14:val="none"/>
        </w:rPr>
      </w:pPr>
      <w:r w:rsidRPr="00E24CFA">
        <w:rPr>
          <w:rFonts w:ascii="Calibri" w:eastAsia="Times New Roman" w:hAnsi="Calibri" w:cs="Calibri"/>
          <w:color w:val="000000"/>
          <w:kern w:val="0"/>
          <w14:ligatures w14:val="none"/>
        </w:rPr>
        <w:t>On behalf of the Ohio Provider Resource Association, the trade association that represents and advocates for organizations providing services to people with intellectual and developmental disabilities, please see the recommendations below for your consideration to HB 795. </w:t>
      </w:r>
    </w:p>
    <w:p w14:paraId="052BF4AA" w14:textId="77777777" w:rsidR="00E24CFA" w:rsidRPr="00E24CFA" w:rsidRDefault="00E24CFA" w:rsidP="00E24CFA">
      <w:pPr>
        <w:spacing w:after="0" w:line="240" w:lineRule="auto"/>
        <w:rPr>
          <w:rFonts w:ascii="Calibri" w:eastAsia="Times New Roman" w:hAnsi="Calibri" w:cs="Calibri"/>
          <w:color w:val="000000"/>
          <w:kern w:val="0"/>
          <w14:ligatures w14:val="none"/>
        </w:rPr>
      </w:pPr>
    </w:p>
    <w:p w14:paraId="0255D9DB" w14:textId="77777777" w:rsidR="00E24CFA" w:rsidRPr="00E24CFA" w:rsidRDefault="00E24CFA" w:rsidP="00E24CFA">
      <w:pPr>
        <w:spacing w:after="0" w:line="240" w:lineRule="auto"/>
        <w:rPr>
          <w:rFonts w:ascii="Calibri" w:eastAsia="Times New Roman" w:hAnsi="Calibri" w:cs="Calibri"/>
          <w:color w:val="000000"/>
          <w:kern w:val="0"/>
          <w14:ligatures w14:val="none"/>
        </w:rPr>
      </w:pPr>
      <w:r w:rsidRPr="00E24CFA">
        <w:rPr>
          <w:rFonts w:ascii="Calibri" w:eastAsia="Times New Roman" w:hAnsi="Calibri" w:cs="Calibri"/>
          <w:color w:val="000000"/>
          <w:kern w:val="0"/>
          <w14:ligatures w14:val="none"/>
        </w:rPr>
        <w:t>I understand that conversations are quickly developing related to this measure, but we wanted to submit these recommendations forward for possible inclusion into the bill and are happy to be a resource as you deliberate moving forward. </w:t>
      </w:r>
    </w:p>
    <w:p w14:paraId="32934D99" w14:textId="77777777" w:rsidR="00E24CFA" w:rsidRPr="00E24CFA" w:rsidRDefault="00E24CFA" w:rsidP="00E24CFA">
      <w:pPr>
        <w:spacing w:after="0" w:line="240" w:lineRule="auto"/>
        <w:rPr>
          <w:rFonts w:ascii="Calibri" w:eastAsia="Times New Roman" w:hAnsi="Calibri" w:cs="Calibri"/>
          <w:color w:val="000000"/>
          <w:kern w:val="0"/>
          <w14:ligatures w14:val="none"/>
        </w:rPr>
      </w:pPr>
      <w:r w:rsidRPr="00E24CFA">
        <w:rPr>
          <w:rFonts w:ascii="Calibri" w:eastAsia="Times New Roman" w:hAnsi="Calibri" w:cs="Calibri"/>
          <w:color w:val="000000"/>
          <w:kern w:val="0"/>
          <w14:ligatures w14:val="none"/>
        </w:rPr>
        <w:br/>
      </w:r>
      <w:r w:rsidRPr="00E24CFA">
        <w:rPr>
          <w:rFonts w:ascii="Calibri" w:eastAsia="Times New Roman" w:hAnsi="Calibri" w:cs="Calibri"/>
          <w:b/>
          <w:bCs/>
          <w:color w:val="000000"/>
          <w:kern w:val="0"/>
          <w14:ligatures w14:val="none"/>
        </w:rPr>
        <w:t>Credible Allegation of Fraud</w:t>
      </w:r>
    </w:p>
    <w:p w14:paraId="5814B269"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In section 5164.36, the statute defines credible allegations of fraud- A "credible allegation of fraud" includes falsified or fake check-ins,</w:t>
      </w:r>
    </w:p>
    <w:p w14:paraId="2D0D5018"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xml:space="preserve">forged paperwork, double billing for </w:t>
      </w:r>
      <w:proofErr w:type="spellStart"/>
      <w:r w:rsidRPr="00E24CFA">
        <w:rPr>
          <w:rFonts w:ascii="Calibri" w:eastAsia="Times New Roman" w:hAnsi="Calibri" w:cs="Calibri"/>
          <w:color w:val="000000"/>
          <w:kern w:val="0"/>
          <w:sz w:val="22"/>
          <w:szCs w:val="22"/>
          <w14:ligatures w14:val="none"/>
        </w:rPr>
        <w:t>medicaid</w:t>
      </w:r>
      <w:proofErr w:type="spellEnd"/>
      <w:r w:rsidRPr="00E24CFA">
        <w:rPr>
          <w:rFonts w:ascii="Calibri" w:eastAsia="Times New Roman" w:hAnsi="Calibri" w:cs="Calibri"/>
          <w:color w:val="000000"/>
          <w:kern w:val="0"/>
          <w:sz w:val="22"/>
          <w:szCs w:val="22"/>
          <w14:ligatures w14:val="none"/>
        </w:rPr>
        <w:t> services, identity misuse, impossible travel patterns, claims that overlap with a hospital stay, and coordinated billing rings.”</w:t>
      </w:r>
    </w:p>
    <w:p w14:paraId="72C67C69"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w:t>
      </w:r>
    </w:p>
    <w:p w14:paraId="439FC43A"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The concern for our system is related to claims that overlap with hospital stays. Currently, federal law allows for states to pay for </w:t>
      </w:r>
      <w:r w:rsidRPr="00E24CFA">
        <w:rPr>
          <w:rFonts w:ascii="Calibri" w:eastAsia="Times New Roman" w:hAnsi="Calibri" w:cs="Calibri"/>
          <w:color w:val="212121"/>
          <w:kern w:val="0"/>
          <w:sz w:val="22"/>
          <w:szCs w:val="22"/>
          <w14:ligatures w14:val="none"/>
        </w:rPr>
        <w:t>HCBS</w:t>
      </w:r>
      <w:r w:rsidRPr="00E24CFA">
        <w:rPr>
          <w:rFonts w:ascii="Calibri" w:eastAsia="Times New Roman" w:hAnsi="Calibri" w:cs="Calibri"/>
          <w:color w:val="000000"/>
          <w:kern w:val="0"/>
          <w:sz w:val="22"/>
          <w:szCs w:val="22"/>
          <w14:ligatures w14:val="none"/>
        </w:rPr>
        <w:t> services delivered to a person while they are staying in a hospital. DODD allows both homemaker/personal care </w:t>
      </w:r>
      <w:r w:rsidRPr="00E24CFA">
        <w:rPr>
          <w:rFonts w:ascii="Calibri" w:eastAsia="Times New Roman" w:hAnsi="Calibri" w:cs="Calibri"/>
          <w:color w:val="212121"/>
          <w:kern w:val="0"/>
          <w:sz w:val="22"/>
          <w:szCs w:val="22"/>
          <w14:ligatures w14:val="none"/>
        </w:rPr>
        <w:t>(HPC) </w:t>
      </w:r>
      <w:r w:rsidRPr="00E24CFA">
        <w:rPr>
          <w:rFonts w:ascii="Calibri" w:eastAsia="Times New Roman" w:hAnsi="Calibri" w:cs="Calibri"/>
          <w:color w:val="000000"/>
          <w:kern w:val="0"/>
          <w:sz w:val="22"/>
          <w:szCs w:val="22"/>
          <w14:ligatures w14:val="none"/>
        </w:rPr>
        <w:t xml:space="preserve">and shared living to be provided to a person while they are in a hospital. </w:t>
      </w:r>
      <w:proofErr w:type="gramStart"/>
      <w:r w:rsidRPr="00E24CFA">
        <w:rPr>
          <w:rFonts w:ascii="Calibri" w:eastAsia="Times New Roman" w:hAnsi="Calibri" w:cs="Calibri"/>
          <w:color w:val="000000"/>
          <w:kern w:val="0"/>
          <w:sz w:val="22"/>
          <w:szCs w:val="22"/>
          <w14:ligatures w14:val="none"/>
        </w:rPr>
        <w:t>So</w:t>
      </w:r>
      <w:proofErr w:type="gramEnd"/>
      <w:r w:rsidRPr="00E24CFA">
        <w:rPr>
          <w:rFonts w:ascii="Calibri" w:eastAsia="Times New Roman" w:hAnsi="Calibri" w:cs="Calibri"/>
          <w:color w:val="000000"/>
          <w:kern w:val="0"/>
          <w:sz w:val="22"/>
          <w:szCs w:val="22"/>
          <w14:ligatures w14:val="none"/>
        </w:rPr>
        <w:t> </w:t>
      </w:r>
      <w:r w:rsidRPr="00E24CFA">
        <w:rPr>
          <w:rFonts w:ascii="Calibri" w:eastAsia="Times New Roman" w:hAnsi="Calibri" w:cs="Calibri"/>
          <w:color w:val="212121"/>
          <w:kern w:val="0"/>
          <w:sz w:val="22"/>
          <w:szCs w:val="22"/>
          <w14:ligatures w14:val="none"/>
        </w:rPr>
        <w:t>under </w:t>
      </w:r>
      <w:r w:rsidRPr="00E24CFA">
        <w:rPr>
          <w:rFonts w:ascii="Calibri" w:eastAsia="Times New Roman" w:hAnsi="Calibri" w:cs="Calibri"/>
          <w:color w:val="000000"/>
          <w:kern w:val="0"/>
          <w:sz w:val="22"/>
          <w:szCs w:val="22"/>
          <w14:ligatures w14:val="none"/>
        </w:rPr>
        <w:t>th</w:t>
      </w:r>
      <w:r w:rsidRPr="00E24CFA">
        <w:rPr>
          <w:rFonts w:ascii="Calibri" w:eastAsia="Times New Roman" w:hAnsi="Calibri" w:cs="Calibri"/>
          <w:color w:val="212121"/>
          <w:kern w:val="0"/>
          <w:sz w:val="22"/>
          <w:szCs w:val="22"/>
          <w14:ligatures w14:val="none"/>
        </w:rPr>
        <w:t>e bill</w:t>
      </w:r>
      <w:r w:rsidRPr="00E24CFA">
        <w:rPr>
          <w:rFonts w:ascii="Calibri" w:eastAsia="Times New Roman" w:hAnsi="Calibri" w:cs="Calibri"/>
          <w:color w:val="000000"/>
          <w:kern w:val="0"/>
          <w:sz w:val="22"/>
          <w:szCs w:val="22"/>
          <w14:ligatures w14:val="none"/>
        </w:rPr>
        <w:t> would that a provider could both be providing a legal service that is authorized in the person’s service plan and then automatically get flagged as a fraudulent claim. </w:t>
      </w:r>
    </w:p>
    <w:p w14:paraId="6337B71D"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w:t>
      </w:r>
    </w:p>
    <w:p w14:paraId="6B78CFC4"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The ability to provide homemaker/personal care or shared living while a person is in a hospital is limited. Per DODD rule, to be able to provide </w:t>
      </w:r>
      <w:r w:rsidRPr="00E24CFA">
        <w:rPr>
          <w:rFonts w:ascii="Calibri" w:eastAsia="Times New Roman" w:hAnsi="Calibri" w:cs="Calibri"/>
          <w:color w:val="212121"/>
          <w:kern w:val="0"/>
          <w:sz w:val="22"/>
          <w:szCs w:val="22"/>
          <w14:ligatures w14:val="none"/>
        </w:rPr>
        <w:t>HPC or</w:t>
      </w:r>
      <w:r w:rsidRPr="00E24CFA">
        <w:rPr>
          <w:rFonts w:ascii="Calibri" w:eastAsia="Times New Roman" w:hAnsi="Calibri" w:cs="Calibri"/>
          <w:color w:val="000000"/>
          <w:kern w:val="0"/>
          <w:sz w:val="22"/>
          <w:szCs w:val="22"/>
          <w14:ligatures w14:val="none"/>
        </w:rPr>
        <w:t> </w:t>
      </w:r>
      <w:r w:rsidRPr="00E24CFA">
        <w:rPr>
          <w:rFonts w:ascii="Calibri" w:eastAsia="Times New Roman" w:hAnsi="Calibri" w:cs="Calibri"/>
          <w:color w:val="212121"/>
          <w:kern w:val="0"/>
          <w:sz w:val="22"/>
          <w:szCs w:val="22"/>
          <w14:ligatures w14:val="none"/>
        </w:rPr>
        <w:t>shared living in a hospital</w:t>
      </w:r>
      <w:r w:rsidRPr="00E24CFA">
        <w:rPr>
          <w:rFonts w:ascii="Calibri" w:eastAsia="Times New Roman" w:hAnsi="Calibri" w:cs="Calibri"/>
          <w:color w:val="000000"/>
          <w:kern w:val="0"/>
          <w:sz w:val="22"/>
          <w:szCs w:val="22"/>
          <w14:ligatures w14:val="none"/>
        </w:rPr>
        <w:t>, these are </w:t>
      </w:r>
      <w:r w:rsidRPr="00E24CFA">
        <w:rPr>
          <w:rFonts w:ascii="Calibri" w:eastAsia="Times New Roman" w:hAnsi="Calibri" w:cs="Calibri"/>
          <w:color w:val="212121"/>
          <w:kern w:val="0"/>
          <w:sz w:val="22"/>
          <w:szCs w:val="22"/>
          <w14:ligatures w14:val="none"/>
        </w:rPr>
        <w:t>the </w:t>
      </w:r>
      <w:r w:rsidRPr="00E24CFA">
        <w:rPr>
          <w:rFonts w:ascii="Calibri" w:eastAsia="Times New Roman" w:hAnsi="Calibri" w:cs="Calibri"/>
          <w:color w:val="000000"/>
          <w:kern w:val="0"/>
          <w:sz w:val="22"/>
          <w:szCs w:val="22"/>
          <w14:ligatures w14:val="none"/>
        </w:rPr>
        <w:t>requirements-</w:t>
      </w:r>
      <w:r w:rsidRPr="00E24CFA">
        <w:rPr>
          <w:rFonts w:ascii="Calibri" w:eastAsia="Times New Roman" w:hAnsi="Calibri" w:cs="Calibri"/>
          <w:color w:val="212121"/>
          <w:kern w:val="0"/>
          <w:sz w:val="22"/>
          <w:szCs w:val="22"/>
          <w14:ligatures w14:val="none"/>
        </w:rPr>
        <w:t> The service is really meant to ensure that people with I/DD have their needs fully communicated and met while in the hospital. We can provide examples of what this looks like if it would be helpful.</w:t>
      </w:r>
    </w:p>
    <w:p w14:paraId="14C77230"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7"/>
          <w:szCs w:val="27"/>
          <w14:ligatures w14:val="none"/>
        </w:rPr>
        <w:t>“(</w:t>
      </w:r>
      <w:r w:rsidRPr="00E24CFA">
        <w:rPr>
          <w:rFonts w:ascii="Calibri" w:eastAsia="Times New Roman" w:hAnsi="Calibri" w:cs="Calibri"/>
          <w:color w:val="000000"/>
          <w:kern w:val="0"/>
          <w:sz w:val="22"/>
          <w:szCs w:val="22"/>
          <w14:ligatures w14:val="none"/>
        </w:rPr>
        <w:t>7) Homemaker/personal care </w:t>
      </w:r>
      <w:r w:rsidRPr="00E24CFA">
        <w:rPr>
          <w:rFonts w:ascii="Calibri" w:eastAsia="Times New Roman" w:hAnsi="Calibri" w:cs="Calibri"/>
          <w:color w:val="212121"/>
          <w:kern w:val="0"/>
          <w:sz w:val="22"/>
          <w:szCs w:val="22"/>
          <w14:ligatures w14:val="none"/>
        </w:rPr>
        <w:t>(and shared living) </w:t>
      </w:r>
      <w:r w:rsidRPr="00E24CFA">
        <w:rPr>
          <w:rFonts w:ascii="Calibri" w:eastAsia="Times New Roman" w:hAnsi="Calibri" w:cs="Calibri"/>
          <w:color w:val="000000"/>
          <w:kern w:val="0"/>
          <w:sz w:val="22"/>
          <w:szCs w:val="22"/>
          <w14:ligatures w14:val="none"/>
        </w:rPr>
        <w:t>may be provided to an individual in an acute care hospital to address the individual's intensive personal care, behavioral support/stabilization, or communication needs when the following conditions are met:</w:t>
      </w:r>
    </w:p>
    <w:p w14:paraId="42746923" w14:textId="77777777" w:rsidR="00E24CFA" w:rsidRPr="00E24CFA" w:rsidRDefault="00E24CFA" w:rsidP="00E24CFA">
      <w:pPr>
        <w:spacing w:after="0" w:line="240" w:lineRule="auto"/>
        <w:ind w:left="720"/>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xml:space="preserve">(a) Homemaker/personal care is necessary to ensure smooth transition between the acute care hospital and the individual's home and to preserve the individual's functional </w:t>
      </w:r>
      <w:proofErr w:type="gramStart"/>
      <w:r w:rsidRPr="00E24CFA">
        <w:rPr>
          <w:rFonts w:ascii="Calibri" w:eastAsia="Times New Roman" w:hAnsi="Calibri" w:cs="Calibri"/>
          <w:color w:val="000000"/>
          <w:kern w:val="0"/>
          <w:sz w:val="22"/>
          <w:szCs w:val="22"/>
          <w14:ligatures w14:val="none"/>
        </w:rPr>
        <w:t>abilities;</w:t>
      </w:r>
      <w:proofErr w:type="gramEnd"/>
    </w:p>
    <w:p w14:paraId="06F24B6B" w14:textId="77777777" w:rsidR="00E24CFA" w:rsidRPr="00E24CFA" w:rsidRDefault="00E24CFA" w:rsidP="00E24CFA">
      <w:pPr>
        <w:spacing w:after="0" w:line="240" w:lineRule="auto"/>
        <w:ind w:left="720"/>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xml:space="preserve">(b) Homemaker/personal care is not a substitute for services the acute care hospital provides or is obligated to provide (e.g., attendant care) through its conditions of participation, federal law, state law, or other applicable </w:t>
      </w:r>
      <w:proofErr w:type="gramStart"/>
      <w:r w:rsidRPr="00E24CFA">
        <w:rPr>
          <w:rFonts w:ascii="Calibri" w:eastAsia="Times New Roman" w:hAnsi="Calibri" w:cs="Calibri"/>
          <w:color w:val="000000"/>
          <w:kern w:val="0"/>
          <w:sz w:val="22"/>
          <w:szCs w:val="22"/>
          <w14:ligatures w14:val="none"/>
        </w:rPr>
        <w:t>requirement;</w:t>
      </w:r>
      <w:proofErr w:type="gramEnd"/>
    </w:p>
    <w:p w14:paraId="18440A56" w14:textId="77777777" w:rsidR="00E24CFA" w:rsidRPr="00E24CFA" w:rsidRDefault="00E24CFA" w:rsidP="00E24CFA">
      <w:pPr>
        <w:spacing w:after="0" w:line="240" w:lineRule="auto"/>
        <w:ind w:left="720"/>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xml:space="preserve">(c) The person providing homemaker/personal care is </w:t>
      </w:r>
      <w:proofErr w:type="gramStart"/>
      <w:r w:rsidRPr="00E24CFA">
        <w:rPr>
          <w:rFonts w:ascii="Calibri" w:eastAsia="Times New Roman" w:hAnsi="Calibri" w:cs="Calibri"/>
          <w:color w:val="000000"/>
          <w:kern w:val="0"/>
          <w:sz w:val="22"/>
          <w:szCs w:val="22"/>
          <w14:ligatures w14:val="none"/>
        </w:rPr>
        <w:t>awake;</w:t>
      </w:r>
      <w:proofErr w:type="gramEnd"/>
    </w:p>
    <w:p w14:paraId="054D3D25" w14:textId="77777777" w:rsidR="00E24CFA" w:rsidRPr="00E24CFA" w:rsidRDefault="00E24CFA" w:rsidP="00E24CFA">
      <w:pPr>
        <w:spacing w:after="0" w:line="240" w:lineRule="auto"/>
        <w:ind w:left="720"/>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xml:space="preserve">(d) A maximum of sixteen hours of homemaker/personal care per day may be provided to an individual in an acute care </w:t>
      </w:r>
      <w:proofErr w:type="gramStart"/>
      <w:r w:rsidRPr="00E24CFA">
        <w:rPr>
          <w:rFonts w:ascii="Calibri" w:eastAsia="Times New Roman" w:hAnsi="Calibri" w:cs="Calibri"/>
          <w:color w:val="000000"/>
          <w:kern w:val="0"/>
          <w:sz w:val="22"/>
          <w:szCs w:val="22"/>
          <w14:ligatures w14:val="none"/>
        </w:rPr>
        <w:t>hospital;</w:t>
      </w:r>
      <w:proofErr w:type="gramEnd"/>
    </w:p>
    <w:p w14:paraId="7F2F54E2" w14:textId="77777777" w:rsidR="00E24CFA" w:rsidRPr="00E24CFA" w:rsidRDefault="00E24CFA" w:rsidP="00E24CFA">
      <w:pPr>
        <w:spacing w:after="0" w:line="240" w:lineRule="auto"/>
        <w:ind w:left="720"/>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(e) An individual may receive homemaker/personal care in an acute care hospital on no more than thirty calendar days per waiver eligibility span; and</w:t>
      </w:r>
    </w:p>
    <w:p w14:paraId="55D854E4" w14:textId="77777777" w:rsidR="00E24CFA" w:rsidRPr="00E24CFA" w:rsidRDefault="00E24CFA" w:rsidP="00E24CFA">
      <w:pPr>
        <w:spacing w:after="0" w:line="240" w:lineRule="auto"/>
        <w:ind w:left="720"/>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xml:space="preserve">(f) The cost of homemaker/personal care provided to an individual in an acute care hospital can be accommodated by the individual's budget authorized in the </w:t>
      </w:r>
      <w:proofErr w:type="spellStart"/>
      <w:r w:rsidRPr="00E24CFA">
        <w:rPr>
          <w:rFonts w:ascii="Calibri" w:eastAsia="Times New Roman" w:hAnsi="Calibri" w:cs="Calibri"/>
          <w:color w:val="000000"/>
          <w:kern w:val="0"/>
          <w:sz w:val="22"/>
          <w:szCs w:val="22"/>
          <w14:ligatures w14:val="none"/>
        </w:rPr>
        <w:t>medicaid</w:t>
      </w:r>
      <w:proofErr w:type="spellEnd"/>
      <w:r w:rsidRPr="00E24CFA">
        <w:rPr>
          <w:rFonts w:ascii="Calibri" w:eastAsia="Times New Roman" w:hAnsi="Calibri" w:cs="Calibri"/>
          <w:color w:val="000000"/>
          <w:kern w:val="0"/>
          <w:sz w:val="22"/>
          <w:szCs w:val="22"/>
          <w14:ligatures w14:val="none"/>
        </w:rPr>
        <w:t> services system.”</w:t>
      </w:r>
    </w:p>
    <w:p w14:paraId="673D9328" w14:textId="77777777" w:rsidR="00E24CFA" w:rsidRPr="00E24CFA" w:rsidRDefault="00E24CFA" w:rsidP="00E24CFA">
      <w:pPr>
        <w:spacing w:after="0" w:line="240" w:lineRule="auto"/>
        <w:ind w:left="720"/>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w:t>
      </w:r>
    </w:p>
    <w:p w14:paraId="404347B0"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Sec. 5164.404 also automatically flags providers as high-risk providers if they bill for services at the same time a person is in the hospital. Again, creates an issue because DD providers could be delivering a legal service that has been authorized by the service plan and would automatically get flagged as high risk and have additional administrative burden.</w:t>
      </w:r>
    </w:p>
    <w:p w14:paraId="702202D3"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212121"/>
          <w:kern w:val="0"/>
          <w:sz w:val="22"/>
          <w:szCs w:val="22"/>
          <w14:ligatures w14:val="none"/>
        </w:rPr>
        <w:t> </w:t>
      </w:r>
    </w:p>
    <w:p w14:paraId="63D35B53"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212121"/>
          <w:kern w:val="0"/>
          <w:sz w:val="22"/>
          <w:szCs w:val="22"/>
          <w14:ligatures w14:val="none"/>
        </w:rPr>
        <w:lastRenderedPageBreak/>
        <w:t xml:space="preserve">We also want to make sure that this provision is not prohibit the existence and use of bed-hold days in the intermediate care facility program (ICF). ICFs can bill bed hold days while a resident is in a hospital. Without bed-hold days, providers could </w:t>
      </w:r>
      <w:proofErr w:type="spellStart"/>
      <w:proofErr w:type="gramStart"/>
      <w:r w:rsidRPr="00E24CFA">
        <w:rPr>
          <w:rFonts w:ascii="Calibri" w:eastAsia="Times New Roman" w:hAnsi="Calibri" w:cs="Calibri"/>
          <w:color w:val="212121"/>
          <w:kern w:val="0"/>
          <w:sz w:val="22"/>
          <w:szCs w:val="22"/>
          <w14:ligatures w14:val="none"/>
        </w:rPr>
        <w:t>forced</w:t>
      </w:r>
      <w:proofErr w:type="spellEnd"/>
      <w:proofErr w:type="gramEnd"/>
      <w:r w:rsidRPr="00E24CFA">
        <w:rPr>
          <w:rFonts w:ascii="Calibri" w:eastAsia="Times New Roman" w:hAnsi="Calibri" w:cs="Calibri"/>
          <w:color w:val="212121"/>
          <w:kern w:val="0"/>
          <w:sz w:val="22"/>
          <w:szCs w:val="22"/>
          <w14:ligatures w14:val="none"/>
        </w:rPr>
        <w:t xml:space="preserve"> to terminate services for people while they are hospitalized if they </w:t>
      </w:r>
      <w:proofErr w:type="spellStart"/>
      <w:r w:rsidRPr="00E24CFA">
        <w:rPr>
          <w:rFonts w:ascii="Calibri" w:eastAsia="Times New Roman" w:hAnsi="Calibri" w:cs="Calibri"/>
          <w:color w:val="212121"/>
          <w:kern w:val="0"/>
          <w:sz w:val="22"/>
          <w:szCs w:val="22"/>
          <w14:ligatures w14:val="none"/>
        </w:rPr>
        <w:t>can not</w:t>
      </w:r>
      <w:proofErr w:type="spellEnd"/>
      <w:r w:rsidRPr="00E24CFA">
        <w:rPr>
          <w:rFonts w:ascii="Calibri" w:eastAsia="Times New Roman" w:hAnsi="Calibri" w:cs="Calibri"/>
          <w:color w:val="212121"/>
          <w:kern w:val="0"/>
          <w:sz w:val="22"/>
          <w:szCs w:val="22"/>
          <w14:ligatures w14:val="none"/>
        </w:rPr>
        <w:t> afford to hold the person’s spot while they are in the hospital. This ensures people will be able to return to their home at the ICF after their hospitalization.</w:t>
      </w:r>
    </w:p>
    <w:p w14:paraId="3E6376F7"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w:t>
      </w:r>
    </w:p>
    <w:p w14:paraId="08D7A638"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 xml:space="preserve">A solution for </w:t>
      </w:r>
      <w:proofErr w:type="gramStart"/>
      <w:r w:rsidRPr="00E24CFA">
        <w:rPr>
          <w:rFonts w:ascii="Calibri" w:eastAsia="Times New Roman" w:hAnsi="Calibri" w:cs="Calibri"/>
          <w:color w:val="000000"/>
          <w:kern w:val="0"/>
          <w:sz w:val="22"/>
          <w:szCs w:val="22"/>
          <w14:ligatures w14:val="none"/>
        </w:rPr>
        <w:t>both of these</w:t>
      </w:r>
      <w:proofErr w:type="gramEnd"/>
      <w:r w:rsidRPr="00E24CFA">
        <w:rPr>
          <w:rFonts w:ascii="Calibri" w:eastAsia="Times New Roman" w:hAnsi="Calibri" w:cs="Calibri"/>
          <w:color w:val="000000"/>
          <w:kern w:val="0"/>
          <w:sz w:val="22"/>
          <w:szCs w:val="22"/>
          <w14:ligatures w14:val="none"/>
        </w:rPr>
        <w:t> issues would be to add “claims that overlap with a hospital stay</w:t>
      </w:r>
      <w:r w:rsidRPr="00E24CFA">
        <w:rPr>
          <w:rFonts w:ascii="Calibri" w:eastAsia="Times New Roman" w:hAnsi="Calibri" w:cs="Calibri"/>
          <w:color w:val="000000"/>
          <w:kern w:val="0"/>
          <w:sz w:val="22"/>
          <w:szCs w:val="22"/>
          <w:u w:val="single"/>
          <w14:ligatures w14:val="none"/>
        </w:rPr>
        <w:t> that are not provided as authorized by existing state rule</w:t>
      </w:r>
      <w:r w:rsidRPr="00E24CFA">
        <w:rPr>
          <w:rFonts w:ascii="Calibri" w:eastAsia="Times New Roman" w:hAnsi="Calibri" w:cs="Calibri"/>
          <w:color w:val="000000"/>
          <w:kern w:val="0"/>
          <w:sz w:val="22"/>
          <w:szCs w:val="22"/>
          <w14:ligatures w14:val="none"/>
        </w:rPr>
        <w:t>” or “claims that overlap with a hospital stay</w:t>
      </w:r>
      <w:r w:rsidRPr="00E24CFA">
        <w:rPr>
          <w:rFonts w:ascii="Calibri" w:eastAsia="Times New Roman" w:hAnsi="Calibri" w:cs="Calibri"/>
          <w:color w:val="000000"/>
          <w:kern w:val="0"/>
          <w:sz w:val="22"/>
          <w:szCs w:val="22"/>
          <w:u w:val="single"/>
          <w14:ligatures w14:val="none"/>
        </w:rPr>
        <w:t> that are not provided in accordance with an authorized </w:t>
      </w:r>
      <w:r w:rsidRPr="00E24CFA">
        <w:rPr>
          <w:rFonts w:ascii="Calibri" w:eastAsia="Times New Roman" w:hAnsi="Calibri" w:cs="Calibri"/>
          <w:color w:val="212121"/>
          <w:kern w:val="0"/>
          <w:sz w:val="22"/>
          <w:szCs w:val="22"/>
          <w:u w:val="single"/>
          <w14:ligatures w14:val="none"/>
        </w:rPr>
        <w:t>individual </w:t>
      </w:r>
      <w:r w:rsidRPr="00E24CFA">
        <w:rPr>
          <w:rFonts w:ascii="Calibri" w:eastAsia="Times New Roman" w:hAnsi="Calibri" w:cs="Calibri"/>
          <w:color w:val="000000"/>
          <w:kern w:val="0"/>
          <w:sz w:val="22"/>
          <w:szCs w:val="22"/>
          <w:u w:val="single"/>
          <w14:ligatures w14:val="none"/>
        </w:rPr>
        <w:t>service plan</w:t>
      </w:r>
      <w:r w:rsidRPr="00E24CFA">
        <w:rPr>
          <w:rFonts w:ascii="Calibri" w:eastAsia="Times New Roman" w:hAnsi="Calibri" w:cs="Calibri"/>
          <w:color w:val="000000"/>
          <w:kern w:val="0"/>
          <w:sz w:val="22"/>
          <w:szCs w:val="22"/>
          <w14:ligatures w14:val="none"/>
        </w:rPr>
        <w:t>.”</w:t>
      </w:r>
    </w:p>
    <w:p w14:paraId="54106691"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212121"/>
          <w:kern w:val="0"/>
          <w:sz w:val="22"/>
          <w:szCs w:val="22"/>
          <w14:ligatures w14:val="none"/>
        </w:rPr>
        <w:t> </w:t>
      </w:r>
    </w:p>
    <w:p w14:paraId="143BB9AC"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b/>
          <w:bCs/>
          <w:color w:val="000000"/>
          <w:kern w:val="0"/>
          <w:sz w:val="22"/>
          <w:szCs w:val="22"/>
          <w14:ligatures w14:val="none"/>
        </w:rPr>
        <w:t>Electronic Visit Verification</w:t>
      </w:r>
    </w:p>
    <w:p w14:paraId="524EABAA"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212121"/>
          <w:kern w:val="0"/>
          <w:sz w:val="22"/>
          <w:szCs w:val="22"/>
          <w14:ligatures w14:val="none"/>
        </w:rPr>
        <w:t xml:space="preserve">Add- Sec. </w:t>
      </w:r>
      <w:proofErr w:type="gramStart"/>
      <w:r w:rsidRPr="00E24CFA">
        <w:rPr>
          <w:rFonts w:ascii="Calibri" w:eastAsia="Times New Roman" w:hAnsi="Calibri" w:cs="Calibri"/>
          <w:color w:val="212121"/>
          <w:kern w:val="0"/>
          <w:sz w:val="22"/>
          <w:szCs w:val="22"/>
          <w14:ligatures w14:val="none"/>
        </w:rPr>
        <w:t>5164.40  (</w:t>
      </w:r>
      <w:proofErr w:type="gramEnd"/>
      <w:r w:rsidRPr="00E24CFA">
        <w:rPr>
          <w:rFonts w:ascii="Calibri" w:eastAsia="Times New Roman" w:hAnsi="Calibri" w:cs="Calibri"/>
          <w:color w:val="212121"/>
          <w:kern w:val="0"/>
          <w:sz w:val="22"/>
          <w:szCs w:val="22"/>
          <w14:ligatures w14:val="none"/>
        </w:rPr>
        <w:t>E)(</w:t>
      </w:r>
      <w:proofErr w:type="gramStart"/>
      <w:r w:rsidRPr="00E24CFA">
        <w:rPr>
          <w:rFonts w:ascii="Calibri" w:eastAsia="Times New Roman" w:hAnsi="Calibri" w:cs="Calibri"/>
          <w:color w:val="212121"/>
          <w:kern w:val="0"/>
          <w:sz w:val="22"/>
          <w:szCs w:val="22"/>
          <w14:ligatures w14:val="none"/>
        </w:rPr>
        <w:t>5)“</w:t>
      </w:r>
      <w:proofErr w:type="gramEnd"/>
      <w:r w:rsidRPr="00E24CFA">
        <w:rPr>
          <w:rFonts w:ascii="Calibri" w:eastAsia="Times New Roman" w:hAnsi="Calibri" w:cs="Calibri"/>
          <w:color w:val="212121"/>
          <w:kern w:val="0"/>
          <w:sz w:val="22"/>
          <w:szCs w:val="22"/>
          <w:u w:val="single"/>
          <w14:ligatures w14:val="none"/>
        </w:rPr>
        <w:t>In-home Care Services does not include residential services billed on a daily rate, habilitation services, or transportation services under a developmental disabilities level of care home and community-based Medicaid waiver or services provided in an intermediate care facility for individuals with intellectual disabilities.”</w:t>
      </w:r>
    </w:p>
    <w:p w14:paraId="2F1C6ABB" w14:textId="77777777" w:rsidR="00E24CFA" w:rsidRPr="00E24CFA" w:rsidRDefault="00E24CFA" w:rsidP="00E24CFA">
      <w:pPr>
        <w:numPr>
          <w:ilvl w:val="0"/>
          <w:numId w:val="1"/>
        </w:numPr>
        <w:spacing w:after="0" w:line="240" w:lineRule="auto"/>
        <w:rPr>
          <w:rFonts w:ascii="Aptos" w:eastAsia="Times New Roman" w:hAnsi="Aptos" w:cs="Calibri"/>
          <w:color w:val="212121"/>
          <w:kern w:val="0"/>
          <w14:ligatures w14:val="none"/>
        </w:rPr>
      </w:pPr>
      <w:r w:rsidRPr="00E24CFA">
        <w:rPr>
          <w:rFonts w:ascii="Calibri" w:eastAsia="Times New Roman" w:hAnsi="Calibri" w:cs="Calibri"/>
          <w:color w:val="212121"/>
          <w:kern w:val="0"/>
          <w:sz w:val="22"/>
          <w:szCs w:val="22"/>
          <w14:ligatures w14:val="none"/>
        </w:rPr>
        <w:t>LSC will also need to add definition of intermediate care facility in this section and renumber the list</w:t>
      </w:r>
    </w:p>
    <w:p w14:paraId="703756D5" w14:textId="77777777" w:rsidR="00E24CFA" w:rsidRPr="00E24CFA" w:rsidRDefault="00E24CFA" w:rsidP="00E24CFA">
      <w:pPr>
        <w:numPr>
          <w:ilvl w:val="0"/>
          <w:numId w:val="1"/>
        </w:numPr>
        <w:spacing w:after="0" w:line="240" w:lineRule="auto"/>
        <w:rPr>
          <w:rFonts w:ascii="Aptos" w:eastAsia="Times New Roman" w:hAnsi="Aptos" w:cs="Calibri"/>
          <w:color w:val="212121"/>
          <w:kern w:val="0"/>
          <w14:ligatures w14:val="none"/>
        </w:rPr>
      </w:pPr>
      <w:r w:rsidRPr="00E24CFA">
        <w:rPr>
          <w:rFonts w:ascii="Calibri" w:eastAsia="Times New Roman" w:hAnsi="Calibri" w:cs="Calibri"/>
          <w:color w:val="212121"/>
          <w:kern w:val="0"/>
          <w:sz w:val="22"/>
          <w:szCs w:val="22"/>
          <w14:ligatures w14:val="none"/>
        </w:rPr>
        <w:t>Most of DODD’s residential services in DD waivers provided on a daily rate are provided in setting where someone is receiving 24/7 care and often occurs when staff are supporting multiple people at once. There is not a defined visit to deliver the service. For ICFs, they are also staffed 24/7 and there is no defined visit. Habilitation services are not provided in the home. In services like vocational habilitation and day services, people receive the service in a facility-based setting. These are almost always delivered in a group setting as well which is unlike drop-in residential services where one staff support one person. Some services like individual employment supports are one to one but based in community jobs like Kroger.</w:t>
      </w:r>
    </w:p>
    <w:p w14:paraId="160B0D7C"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212121"/>
          <w:kern w:val="0"/>
          <w:sz w:val="22"/>
          <w:szCs w:val="22"/>
          <w14:ligatures w14:val="none"/>
        </w:rPr>
        <w:t> </w:t>
      </w:r>
    </w:p>
    <w:p w14:paraId="41111B4C"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b/>
          <w:bCs/>
          <w:color w:val="212121"/>
          <w:kern w:val="0"/>
          <w:sz w:val="22"/>
          <w:szCs w:val="22"/>
          <w14:ligatures w14:val="none"/>
        </w:rPr>
        <w:t>P</w:t>
      </w:r>
      <w:r w:rsidRPr="00E24CFA">
        <w:rPr>
          <w:rFonts w:ascii="Calibri" w:eastAsia="Times New Roman" w:hAnsi="Calibri" w:cs="Calibri"/>
          <w:b/>
          <w:bCs/>
          <w:color w:val="000000"/>
          <w:kern w:val="0"/>
          <w:sz w:val="22"/>
          <w:szCs w:val="22"/>
          <w14:ligatures w14:val="none"/>
        </w:rPr>
        <w:t>rovider Audit Requirement</w:t>
      </w:r>
    </w:p>
    <w:p w14:paraId="485116DD"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000000"/>
          <w:kern w:val="0"/>
          <w:sz w:val="22"/>
          <w:szCs w:val="22"/>
          <w14:ligatures w14:val="none"/>
        </w:rPr>
        <w:t>Sec. 5162.85- this provision would scoop DD providers in- ICFs already submit cost reports that are reviewed by the state before payment is made. What ICFs can bill and the caps for costs are listed out in statute.</w:t>
      </w:r>
    </w:p>
    <w:p w14:paraId="69E6F778"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212121"/>
          <w:kern w:val="0"/>
          <w:sz w:val="22"/>
          <w:szCs w:val="22"/>
          <w14:ligatures w14:val="none"/>
        </w:rPr>
        <w:t xml:space="preserve">“(R)(3) A provider of long-term support services under a </w:t>
      </w:r>
      <w:proofErr w:type="spellStart"/>
      <w:r w:rsidRPr="00E24CFA">
        <w:rPr>
          <w:rFonts w:ascii="Calibri" w:eastAsia="Times New Roman" w:hAnsi="Calibri" w:cs="Calibri"/>
          <w:color w:val="212121"/>
          <w:kern w:val="0"/>
          <w:sz w:val="22"/>
          <w:szCs w:val="22"/>
          <w14:ligatures w14:val="none"/>
        </w:rPr>
        <w:t>medicaid</w:t>
      </w:r>
      <w:proofErr w:type="spellEnd"/>
      <w:r w:rsidRPr="00E24CFA">
        <w:rPr>
          <w:rFonts w:ascii="Calibri" w:eastAsia="Times New Roman" w:hAnsi="Calibri" w:cs="Calibri"/>
          <w:color w:val="212121"/>
          <w:kern w:val="0"/>
          <w:sz w:val="22"/>
          <w:szCs w:val="22"/>
          <w14:ligatures w14:val="none"/>
        </w:rPr>
        <w:t> plan waiver </w:t>
      </w:r>
      <w:r w:rsidRPr="00E24CFA">
        <w:rPr>
          <w:rFonts w:ascii="Calibri" w:eastAsia="Times New Roman" w:hAnsi="Calibri" w:cs="Calibri"/>
          <w:color w:val="212121"/>
          <w:kern w:val="0"/>
          <w:sz w:val="22"/>
          <w:szCs w:val="22"/>
          <w:u w:val="single"/>
          <w14:ligatures w14:val="none"/>
        </w:rPr>
        <w:t xml:space="preserve">except home and </w:t>
      </w:r>
      <w:proofErr w:type="gramStart"/>
      <w:r w:rsidRPr="00E24CFA">
        <w:rPr>
          <w:rFonts w:ascii="Calibri" w:eastAsia="Times New Roman" w:hAnsi="Calibri" w:cs="Calibri"/>
          <w:color w:val="212121"/>
          <w:kern w:val="0"/>
          <w:sz w:val="22"/>
          <w:szCs w:val="22"/>
          <w:u w:val="single"/>
          <w14:ligatures w14:val="none"/>
        </w:rPr>
        <w:t>community based</w:t>
      </w:r>
      <w:proofErr w:type="gramEnd"/>
      <w:r w:rsidRPr="00E24CFA">
        <w:rPr>
          <w:rFonts w:ascii="Calibri" w:eastAsia="Times New Roman" w:hAnsi="Calibri" w:cs="Calibri"/>
          <w:color w:val="212121"/>
          <w:kern w:val="0"/>
          <w:sz w:val="22"/>
          <w:szCs w:val="22"/>
          <w:u w:val="single"/>
          <w14:ligatures w14:val="none"/>
        </w:rPr>
        <w:t xml:space="preserve"> waivers administered by the Ohio Department of Developmental Disabilities</w:t>
      </w:r>
      <w:r w:rsidRPr="00E24CFA">
        <w:rPr>
          <w:rFonts w:ascii="Calibri" w:eastAsia="Times New Roman" w:hAnsi="Calibri" w:cs="Calibri"/>
          <w:color w:val="212121"/>
          <w:kern w:val="0"/>
          <w:sz w:val="22"/>
          <w:szCs w:val="22"/>
          <w14:ligatures w14:val="none"/>
        </w:rPr>
        <w:t>”</w:t>
      </w:r>
    </w:p>
    <w:p w14:paraId="5CB0B8F8" w14:textId="77777777" w:rsidR="00E24CFA" w:rsidRPr="00E24CFA" w:rsidRDefault="00E24CFA" w:rsidP="00E24CFA">
      <w:pPr>
        <w:spacing w:after="0" w:line="240" w:lineRule="auto"/>
        <w:rPr>
          <w:rFonts w:ascii="Aptos" w:eastAsia="Times New Roman" w:hAnsi="Aptos" w:cs="Times New Roman"/>
          <w:color w:val="212121"/>
          <w:kern w:val="0"/>
          <w14:ligatures w14:val="none"/>
        </w:rPr>
      </w:pPr>
      <w:r w:rsidRPr="00E24CFA">
        <w:rPr>
          <w:rFonts w:ascii="Calibri" w:eastAsia="Times New Roman" w:hAnsi="Calibri" w:cs="Calibri"/>
          <w:color w:val="212121"/>
          <w:kern w:val="0"/>
          <w:sz w:val="22"/>
          <w:szCs w:val="22"/>
          <w14:ligatures w14:val="none"/>
        </w:rPr>
        <w:t>  “(R)(5)</w:t>
      </w:r>
      <w:r w:rsidRPr="00E24CFA">
        <w:rPr>
          <w:rFonts w:ascii="Calibri" w:eastAsia="Times New Roman" w:hAnsi="Calibri" w:cs="Calibri"/>
          <w:color w:val="212121"/>
          <w:kern w:val="0"/>
          <w14:ligatures w14:val="none"/>
        </w:rPr>
        <w:t> </w:t>
      </w:r>
      <w:r w:rsidRPr="00E24CFA">
        <w:rPr>
          <w:rFonts w:ascii="Calibri" w:eastAsia="Times New Roman" w:hAnsi="Calibri" w:cs="Calibri"/>
          <w:color w:val="212121"/>
          <w:kern w:val="0"/>
          <w:sz w:val="22"/>
          <w:szCs w:val="22"/>
          <w14:ligatures w14:val="none"/>
        </w:rPr>
        <w:t xml:space="preserve">Another type of risk-bearing entity licensed by this state that meets federal and state statutory and regulatory requirements, assumes full, partial, or shared risk for the cost of covered services, and may incur loss if the cost of providing the covered services exceeds payments under the entity's agreement with the department to provide goods or services under the </w:t>
      </w:r>
      <w:proofErr w:type="spellStart"/>
      <w:r w:rsidRPr="00E24CFA">
        <w:rPr>
          <w:rFonts w:ascii="Calibri" w:eastAsia="Times New Roman" w:hAnsi="Calibri" w:cs="Calibri"/>
          <w:color w:val="212121"/>
          <w:kern w:val="0"/>
          <w:sz w:val="22"/>
          <w:szCs w:val="22"/>
          <w14:ligatures w14:val="none"/>
        </w:rPr>
        <w:t>medicaid</w:t>
      </w:r>
      <w:proofErr w:type="spellEnd"/>
      <w:r w:rsidRPr="00E24CFA">
        <w:rPr>
          <w:rFonts w:ascii="Calibri" w:eastAsia="Times New Roman" w:hAnsi="Calibri" w:cs="Calibri"/>
          <w:color w:val="212121"/>
          <w:kern w:val="0"/>
          <w:sz w:val="22"/>
          <w:szCs w:val="22"/>
          <w14:ligatures w14:val="none"/>
        </w:rPr>
        <w:t xml:space="preserve"> program </w:t>
      </w:r>
      <w:r w:rsidRPr="00E24CFA">
        <w:rPr>
          <w:rFonts w:ascii="Calibri" w:eastAsia="Times New Roman" w:hAnsi="Calibri" w:cs="Calibri"/>
          <w:color w:val="212121"/>
          <w:kern w:val="0"/>
          <w:sz w:val="22"/>
          <w:szCs w:val="22"/>
          <w:u w:val="single"/>
          <w14:ligatures w14:val="none"/>
        </w:rPr>
        <w:t>except for entitles who bill for services via a cost report as outlined in existing ORC section 5124.10</w:t>
      </w:r>
      <w:r w:rsidRPr="00E24CFA">
        <w:rPr>
          <w:rFonts w:ascii="Calibri" w:eastAsia="Times New Roman" w:hAnsi="Calibri" w:cs="Calibri"/>
          <w:color w:val="212121"/>
          <w:kern w:val="0"/>
          <w:sz w:val="22"/>
          <w:szCs w:val="22"/>
          <w14:ligatures w14:val="none"/>
        </w:rPr>
        <w:t>.”</w:t>
      </w:r>
    </w:p>
    <w:p w14:paraId="49ED7A65" w14:textId="77777777" w:rsidR="003554D7" w:rsidRDefault="003554D7"/>
    <w:sectPr w:rsidR="00355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33E5E"/>
    <w:multiLevelType w:val="multilevel"/>
    <w:tmpl w:val="9652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75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FA"/>
    <w:rsid w:val="003554D7"/>
    <w:rsid w:val="004570D1"/>
    <w:rsid w:val="0073466D"/>
    <w:rsid w:val="008A465E"/>
    <w:rsid w:val="00E2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24ACD"/>
  <w15:chartTrackingRefBased/>
  <w15:docId w15:val="{71FE3018-699E-0342-98A0-5A223998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CFA"/>
    <w:rPr>
      <w:rFonts w:eastAsiaTheme="majorEastAsia" w:cstheme="majorBidi"/>
      <w:color w:val="272727" w:themeColor="text1" w:themeTint="D8"/>
    </w:rPr>
  </w:style>
  <w:style w:type="paragraph" w:styleId="Title">
    <w:name w:val="Title"/>
    <w:basedOn w:val="Normal"/>
    <w:next w:val="Normal"/>
    <w:link w:val="TitleChar"/>
    <w:uiPriority w:val="10"/>
    <w:qFormat/>
    <w:rsid w:val="00E24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CFA"/>
    <w:pPr>
      <w:spacing w:before="160"/>
      <w:jc w:val="center"/>
    </w:pPr>
    <w:rPr>
      <w:i/>
      <w:iCs/>
      <w:color w:val="404040" w:themeColor="text1" w:themeTint="BF"/>
    </w:rPr>
  </w:style>
  <w:style w:type="character" w:customStyle="1" w:styleId="QuoteChar">
    <w:name w:val="Quote Char"/>
    <w:basedOn w:val="DefaultParagraphFont"/>
    <w:link w:val="Quote"/>
    <w:uiPriority w:val="29"/>
    <w:rsid w:val="00E24CFA"/>
    <w:rPr>
      <w:i/>
      <w:iCs/>
      <w:color w:val="404040" w:themeColor="text1" w:themeTint="BF"/>
    </w:rPr>
  </w:style>
  <w:style w:type="paragraph" w:styleId="ListParagraph">
    <w:name w:val="List Paragraph"/>
    <w:basedOn w:val="Normal"/>
    <w:uiPriority w:val="34"/>
    <w:qFormat/>
    <w:rsid w:val="00E24CFA"/>
    <w:pPr>
      <w:ind w:left="720"/>
      <w:contextualSpacing/>
    </w:pPr>
  </w:style>
  <w:style w:type="character" w:styleId="IntenseEmphasis">
    <w:name w:val="Intense Emphasis"/>
    <w:basedOn w:val="DefaultParagraphFont"/>
    <w:uiPriority w:val="21"/>
    <w:qFormat/>
    <w:rsid w:val="00E24CFA"/>
    <w:rPr>
      <w:i/>
      <w:iCs/>
      <w:color w:val="0F4761" w:themeColor="accent1" w:themeShade="BF"/>
    </w:rPr>
  </w:style>
  <w:style w:type="paragraph" w:styleId="IntenseQuote">
    <w:name w:val="Intense Quote"/>
    <w:basedOn w:val="Normal"/>
    <w:next w:val="Normal"/>
    <w:link w:val="IntenseQuoteChar"/>
    <w:uiPriority w:val="30"/>
    <w:qFormat/>
    <w:rsid w:val="00E24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CFA"/>
    <w:rPr>
      <w:i/>
      <w:iCs/>
      <w:color w:val="0F4761" w:themeColor="accent1" w:themeShade="BF"/>
    </w:rPr>
  </w:style>
  <w:style w:type="character" w:styleId="IntenseReference">
    <w:name w:val="Intense Reference"/>
    <w:basedOn w:val="DefaultParagraphFont"/>
    <w:uiPriority w:val="32"/>
    <w:qFormat/>
    <w:rsid w:val="00E24CFA"/>
    <w:rPr>
      <w:b/>
      <w:bCs/>
      <w:smallCaps/>
      <w:color w:val="0F4761" w:themeColor="accent1" w:themeShade="BF"/>
      <w:spacing w:val="5"/>
    </w:rPr>
  </w:style>
  <w:style w:type="paragraph" w:customStyle="1" w:styleId="xmsonormal">
    <w:name w:val="xmsonormal"/>
    <w:basedOn w:val="Normal"/>
    <w:rsid w:val="00E24C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2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1004</Words>
  <Characters>5372</Characters>
  <Application>Microsoft Office Word</Application>
  <DocSecurity>0</DocSecurity>
  <Lines>83</Lines>
  <Paragraphs>30</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Peter Moore</cp:lastModifiedBy>
  <cp:revision>1</cp:revision>
  <dcterms:created xsi:type="dcterms:W3CDTF">2026-06-02T14:55:00Z</dcterms:created>
  <dcterms:modified xsi:type="dcterms:W3CDTF">2026-06-02T15:01:00Z</dcterms:modified>
</cp:coreProperties>
</file>