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0F84" w14:textId="71A342DF" w:rsidR="004A0C88" w:rsidRDefault="00972130" w:rsidP="004A0C88">
      <w:pPr>
        <w:jc w:val="center"/>
        <w:rPr>
          <w:b/>
          <w:bCs/>
          <w:sz w:val="32"/>
          <w:szCs w:val="32"/>
        </w:rPr>
      </w:pPr>
      <w:r w:rsidRPr="003C136B">
        <w:rPr>
          <w:b/>
          <w:bCs/>
          <w:sz w:val="32"/>
          <w:szCs w:val="32"/>
        </w:rPr>
        <w:t xml:space="preserve">Summary of </w:t>
      </w:r>
      <w:r w:rsidR="004A0C88">
        <w:rPr>
          <w:b/>
          <w:bCs/>
          <w:sz w:val="32"/>
          <w:szCs w:val="32"/>
        </w:rPr>
        <w:t>Ohio Provider Resource Association</w:t>
      </w:r>
    </w:p>
    <w:p w14:paraId="5B95A999" w14:textId="606E1B6D" w:rsidR="00972130" w:rsidRPr="003C136B" w:rsidRDefault="00972130" w:rsidP="004A0C88">
      <w:pPr>
        <w:jc w:val="center"/>
        <w:rPr>
          <w:b/>
          <w:bCs/>
          <w:sz w:val="32"/>
          <w:szCs w:val="32"/>
        </w:rPr>
      </w:pPr>
      <w:r w:rsidRPr="003C136B">
        <w:rPr>
          <w:b/>
          <w:bCs/>
          <w:sz w:val="32"/>
          <w:szCs w:val="32"/>
        </w:rPr>
        <w:t xml:space="preserve">Board Member </w:t>
      </w:r>
      <w:r w:rsidR="00F466EB" w:rsidRPr="003C136B">
        <w:rPr>
          <w:b/>
          <w:bCs/>
          <w:sz w:val="32"/>
          <w:szCs w:val="32"/>
        </w:rPr>
        <w:t>Listening Session</w:t>
      </w:r>
    </w:p>
    <w:p w14:paraId="17983A10" w14:textId="6D2B1ECB" w:rsidR="00972130" w:rsidRPr="00972130" w:rsidRDefault="00972130" w:rsidP="00972130">
      <w:r w:rsidRPr="00972130">
        <w:t xml:space="preserve">Across the listening session, OPRA Board Members articulated a shared sense that Ohio’s developmental disabilities (DD) system is at an inflection point—strained by structural complexity, fiscal uncertainty, and eroding trust among providers, county boards, and state leadership. While perspectives varied in emphasis, there was consistency around the nature of the challenges providers </w:t>
      </w:r>
      <w:r>
        <w:t xml:space="preserve">are </w:t>
      </w:r>
      <w:r w:rsidRPr="00972130">
        <w:t>facing and the types of leadership OPRA is expected to demonstrate moving forward.</w:t>
      </w:r>
    </w:p>
    <w:p w14:paraId="45F8255E" w14:textId="77777777" w:rsidR="00972130" w:rsidRPr="00972130" w:rsidRDefault="00972130" w:rsidP="00972130">
      <w:pPr>
        <w:rPr>
          <w:b/>
          <w:bCs/>
        </w:rPr>
      </w:pPr>
      <w:r w:rsidRPr="00972130">
        <w:rPr>
          <w:b/>
          <w:bCs/>
        </w:rPr>
        <w:t>Theme 1: Over-Regulation, Complexity, and Operational Burden</w:t>
      </w:r>
    </w:p>
    <w:p w14:paraId="5BBE71C5" w14:textId="77777777" w:rsidR="00972130" w:rsidRPr="00972130" w:rsidRDefault="00972130" w:rsidP="00972130">
      <w:r w:rsidRPr="00972130">
        <w:t>A dominant theme throughout the discussion was the pervasive sense that over</w:t>
      </w:r>
      <w:r w:rsidRPr="00972130">
        <w:noBreakHyphen/>
        <w:t>regulation and excessive complexity undermine provider effectiveness and system stability. Board Members repeatedly described a system governed more by rigid rule interpretation than by outcomes, common sense, or operational reality.</w:t>
      </w:r>
    </w:p>
    <w:p w14:paraId="341F7E9D" w14:textId="77777777" w:rsidR="00972130" w:rsidRPr="00972130" w:rsidRDefault="00972130" w:rsidP="00972130">
      <w:r w:rsidRPr="00972130">
        <w:t xml:space="preserve">Several participants noted that </w:t>
      </w:r>
      <w:r w:rsidRPr="00972130">
        <w:rPr>
          <w:b/>
          <w:bCs/>
        </w:rPr>
        <w:t>rules are often interpreted inconsistently</w:t>
      </w:r>
      <w:r w:rsidRPr="00972130">
        <w:t xml:space="preserve">, creating unnecessary burden and confusion. One member captured this succinctly: </w:t>
      </w:r>
      <w:r w:rsidRPr="00972130">
        <w:rPr>
          <w:i/>
          <w:iCs/>
        </w:rPr>
        <w:t>“For me it’s over</w:t>
      </w:r>
      <w:r w:rsidRPr="00972130">
        <w:rPr>
          <w:i/>
          <w:iCs/>
        </w:rPr>
        <w:noBreakHyphen/>
        <w:t>interpretation of the rules which creates the lack of flexibility for providers.”</w:t>
      </w:r>
      <w:r w:rsidRPr="00972130">
        <w:t xml:space="preserve"> Others connected this rigidity to operational inefficiencies, citing particularly burdensome documentation and billing systems. As one participant put it, </w:t>
      </w:r>
      <w:r w:rsidRPr="00972130">
        <w:rPr>
          <w:i/>
          <w:iCs/>
        </w:rPr>
        <w:t>“The Ohio ISP itself… we say we’re going to treat everybody like us, but we have a complicated piece of paper… that can be simplified or eliminated.”</w:t>
      </w:r>
    </w:p>
    <w:p w14:paraId="37492407" w14:textId="77777777" w:rsidR="00972130" w:rsidRPr="00972130" w:rsidRDefault="00972130" w:rsidP="00972130">
      <w:r w:rsidRPr="00972130">
        <w:t>Technology emerged as a related pain point. Providers reported that state systems are difficult to navigate and time</w:t>
      </w:r>
      <w:r w:rsidRPr="00972130">
        <w:noBreakHyphen/>
        <w:t xml:space="preserve">consuming, diverting resources away from direct services. This complexity, combined with unfunded mandates, has left providers absorbing responsibilities without compensation: </w:t>
      </w:r>
      <w:r w:rsidRPr="00972130">
        <w:rPr>
          <w:i/>
          <w:iCs/>
        </w:rPr>
        <w:t>“There’s an expectation of things that we do that we don’t get paid for… we’re gonna do it, but we’re not getting paid for it.”</w:t>
      </w:r>
    </w:p>
    <w:p w14:paraId="0BF7F5F7" w14:textId="77777777" w:rsidR="00972130" w:rsidRPr="00972130" w:rsidRDefault="00972130" w:rsidP="00972130">
      <w:r w:rsidRPr="00972130">
        <w:t>Taken together, Board Members emphasized that simplification—of rules, billing, and oversight—could reduce errors, improve compliance, and potentially mitigate some of the fraud and audit issues that dominate public narratives about the system.</w:t>
      </w:r>
    </w:p>
    <w:p w14:paraId="42A3BAE7" w14:textId="77777777" w:rsidR="00972130" w:rsidRPr="00972130" w:rsidRDefault="005F0045" w:rsidP="00972130">
      <w:r>
        <w:rPr>
          <w:noProof/>
        </w:rPr>
      </w:r>
      <w:r w:rsidR="005F0045">
        <w:rPr>
          <w:noProof/>
        </w:rPr>
        <w:pict w14:anchorId="2F95281F">
          <v:rect id="_x0000_i1025" alt="" style="width:468pt;height:.05pt;mso-width-percent:0;mso-height-percent:0;mso-width-percent:0;mso-height-percent:0" o:hralign="center" o:hrstd="t" o:hr="t" fillcolor="#a0a0a0" stroked="f"/>
        </w:pict>
      </w:r>
    </w:p>
    <w:p w14:paraId="1E461646" w14:textId="77777777" w:rsidR="00972130" w:rsidRPr="00972130" w:rsidRDefault="00972130" w:rsidP="00972130">
      <w:pPr>
        <w:rPr>
          <w:b/>
          <w:bCs/>
        </w:rPr>
      </w:pPr>
      <w:r w:rsidRPr="00972130">
        <w:rPr>
          <w:b/>
          <w:bCs/>
        </w:rPr>
        <w:t>Theme 2: Funding Uncertainty and the Inability to Plan</w:t>
      </w:r>
    </w:p>
    <w:p w14:paraId="01D1338E" w14:textId="045F8660" w:rsidR="00972130" w:rsidRPr="00972130" w:rsidRDefault="00972130" w:rsidP="00972130">
      <w:r w:rsidRPr="00972130">
        <w:t>Uncertainty about funding was cited as both an immediate operational crisis and a fundamental barrier to long</w:t>
      </w:r>
      <w:r w:rsidRPr="00972130">
        <w:noBreakHyphen/>
        <w:t xml:space="preserve">term planning. </w:t>
      </w:r>
      <w:r w:rsidR="00A61EB3">
        <w:t>Board Members</w:t>
      </w:r>
      <w:r w:rsidR="00A61EB3" w:rsidRPr="00972130">
        <w:t xml:space="preserve"> </w:t>
      </w:r>
      <w:r w:rsidRPr="00972130">
        <w:t xml:space="preserve">described trying to manage </w:t>
      </w:r>
      <w:r w:rsidRPr="00972130">
        <w:lastRenderedPageBreak/>
        <w:t>complex organizations without predictable revenue streams, especially as service authorizations are reduced or delayed.</w:t>
      </w:r>
    </w:p>
    <w:p w14:paraId="51B383EF" w14:textId="487676D4" w:rsidR="00972130" w:rsidRPr="00972130" w:rsidRDefault="00972130" w:rsidP="00972130">
      <w:r w:rsidRPr="00972130">
        <w:t xml:space="preserve">One </w:t>
      </w:r>
      <w:r w:rsidR="00A61EB3">
        <w:t>Board Member</w:t>
      </w:r>
      <w:r w:rsidR="00A61EB3" w:rsidRPr="00972130">
        <w:t xml:space="preserve"> </w:t>
      </w:r>
      <w:r w:rsidRPr="00972130">
        <w:t xml:space="preserve">explained the consequences starkly: </w:t>
      </w:r>
      <w:r w:rsidRPr="00972130">
        <w:rPr>
          <w:i/>
          <w:iCs/>
        </w:rPr>
        <w:t>“I made my budget based off anticipated service delivery and did not anticipate them cutting services in some cases by a third… it’s very uncertain on what my budget’s going to actually look like.”</w:t>
      </w:r>
      <w:r w:rsidRPr="00972130">
        <w:t xml:space="preserve"> Others noted that the absence of built</w:t>
      </w:r>
      <w:r w:rsidRPr="00972130">
        <w:noBreakHyphen/>
        <w:t>in rate adjustments makes even short</w:t>
      </w:r>
      <w:r w:rsidRPr="00972130">
        <w:noBreakHyphen/>
        <w:t>term planning precarious, forcing providers to rely on stagnation assumptions and cost</w:t>
      </w:r>
      <w:r w:rsidRPr="00972130">
        <w:noBreakHyphen/>
        <w:t>cutting strategies that disproportionately affect staff.</w:t>
      </w:r>
    </w:p>
    <w:p w14:paraId="6ED94E40" w14:textId="77777777" w:rsidR="00972130" w:rsidRPr="00972130" w:rsidRDefault="00972130" w:rsidP="00972130">
      <w:r w:rsidRPr="00972130">
        <w:t xml:space="preserve">The lack of predictable rate increases was described as dangerous—not just for agencies, but for the individuals served. A Board Member reflected that </w:t>
      </w:r>
      <w:r w:rsidRPr="00972130">
        <w:rPr>
          <w:i/>
          <w:iCs/>
        </w:rPr>
        <w:t>“we went for years and years with no meaningful rate increases… and only because the system was about to fall in on itself did we see action.”</w:t>
      </w:r>
      <w:r w:rsidRPr="00972130">
        <w:t xml:space="preserve"> The consensus was that funding volatility erodes workforce stability, compromises quality, and creates system</w:t>
      </w:r>
      <w:r w:rsidRPr="00972130">
        <w:noBreakHyphen/>
        <w:t>wide risk.</w:t>
      </w:r>
    </w:p>
    <w:p w14:paraId="219BE9B5" w14:textId="5F9EEF0B" w:rsidR="00972130" w:rsidRPr="00972130" w:rsidRDefault="00972130" w:rsidP="00972130"/>
    <w:p w14:paraId="7561935A" w14:textId="77777777" w:rsidR="00972130" w:rsidRPr="00972130" w:rsidRDefault="00972130" w:rsidP="00972130">
      <w:pPr>
        <w:rPr>
          <w:b/>
          <w:bCs/>
        </w:rPr>
      </w:pPr>
      <w:r w:rsidRPr="00972130">
        <w:rPr>
          <w:b/>
          <w:bCs/>
        </w:rPr>
        <w:t>Theme 3: Workforce Crisis and Structural Mismatch</w:t>
      </w:r>
    </w:p>
    <w:p w14:paraId="3B5ED24A" w14:textId="77777777" w:rsidR="00972130" w:rsidRPr="00972130" w:rsidRDefault="00972130" w:rsidP="00972130">
      <w:r w:rsidRPr="00972130">
        <w:t>Layered onto funding instability is a profound workforce shortage that Board Members described as both immediate and accelerating. Participants highlighted a disconnect between policy expectations and labor market realities, especially regarding smaller residential settings and individualized staffing models.</w:t>
      </w:r>
    </w:p>
    <w:p w14:paraId="3FB63E9E" w14:textId="77777777" w:rsidR="00972130" w:rsidRPr="00972130" w:rsidRDefault="00972130" w:rsidP="00972130">
      <w:r w:rsidRPr="00972130">
        <w:t xml:space="preserve">One participant warned: </w:t>
      </w:r>
      <w:r w:rsidRPr="00972130">
        <w:rPr>
          <w:i/>
          <w:iCs/>
        </w:rPr>
        <w:t>“Reality is not coinciding with what their vision is… our staffing and what’s projected isn’t going to be able to support that probably in the next five years.”</w:t>
      </w:r>
      <w:r w:rsidRPr="00972130">
        <w:t xml:space="preserve"> Others noted that the workforce shortage spans caregiving sectors broadly, exacerbated by the pandemic and demographic shifts.</w:t>
      </w:r>
    </w:p>
    <w:p w14:paraId="4D8D1627" w14:textId="77777777" w:rsidR="00972130" w:rsidRPr="00972130" w:rsidRDefault="00972130" w:rsidP="00972130">
      <w:r w:rsidRPr="00972130">
        <w:t xml:space="preserve">Several Board Members argued that </w:t>
      </w:r>
      <w:r w:rsidRPr="00972130">
        <w:rPr>
          <w:b/>
          <w:bCs/>
        </w:rPr>
        <w:t>policy constraints—such as setting</w:t>
      </w:r>
      <w:r w:rsidRPr="00972130">
        <w:rPr>
          <w:b/>
          <w:bCs/>
        </w:rPr>
        <w:noBreakHyphen/>
        <w:t>size limits and development rules—are increasingly misaligned with workforce capacity</w:t>
      </w:r>
      <w:r w:rsidRPr="00972130">
        <w:t>. Without flexibility, providers fear the system will be unable to meet demand, regardless of philosophical commitments to individualized models.</w:t>
      </w:r>
    </w:p>
    <w:p w14:paraId="3897BF71" w14:textId="531CD86A" w:rsidR="00972130" w:rsidRPr="00972130" w:rsidRDefault="00972130" w:rsidP="00972130"/>
    <w:p w14:paraId="309833C2" w14:textId="77777777" w:rsidR="00972130" w:rsidRPr="00972130" w:rsidRDefault="00972130" w:rsidP="00972130">
      <w:pPr>
        <w:rPr>
          <w:b/>
          <w:bCs/>
        </w:rPr>
      </w:pPr>
      <w:r w:rsidRPr="00972130">
        <w:rPr>
          <w:b/>
          <w:bCs/>
        </w:rPr>
        <w:t>Theme 4: Distrust, Power Imbalances, and Inconsistent Oversight</w:t>
      </w:r>
    </w:p>
    <w:p w14:paraId="5A066DEB" w14:textId="77777777" w:rsidR="00972130" w:rsidRPr="00972130" w:rsidRDefault="00972130" w:rsidP="00972130">
      <w:r w:rsidRPr="00972130">
        <w:t xml:space="preserve">Perhaps the most emotionally charged theme was the erosion of trust across the system. Providers described a pervasive sense of being presumed at fault, subjected to scrutiny without reciprocal accountability. One participant summarized the sentiment bluntly: </w:t>
      </w:r>
      <w:r w:rsidRPr="00972130">
        <w:rPr>
          <w:i/>
          <w:iCs/>
        </w:rPr>
        <w:lastRenderedPageBreak/>
        <w:t>“There’s a pretty standard distrust of providers… they’re wearing a microscope pretty frequently.”</w:t>
      </w:r>
    </w:p>
    <w:p w14:paraId="43B3C569" w14:textId="77777777" w:rsidR="00972130" w:rsidRPr="00972130" w:rsidRDefault="00972130" w:rsidP="00972130">
      <w:r w:rsidRPr="00972130">
        <w:t xml:space="preserve">Concerns about </w:t>
      </w:r>
      <w:r w:rsidRPr="00972130">
        <w:rPr>
          <w:b/>
          <w:bCs/>
        </w:rPr>
        <w:t>unequal standards</w:t>
      </w:r>
      <w:r w:rsidRPr="00972130">
        <w:t xml:space="preserve"> surfaced repeatedly. Board Members questioned why providers face rigorous audits and deadlines while county boards and state agencies are not held to the same expectations. As one member asked pointedly: </w:t>
      </w:r>
      <w:r w:rsidRPr="00972130">
        <w:rPr>
          <w:i/>
          <w:iCs/>
        </w:rPr>
        <w:t>“I don’t understand how the department and county boards don’t have to follow the same basic rules that we do as providers.”</w:t>
      </w:r>
    </w:p>
    <w:p w14:paraId="62A91C58" w14:textId="77777777" w:rsidR="00972130" w:rsidRPr="00972130" w:rsidRDefault="00972130" w:rsidP="00972130">
      <w:r w:rsidRPr="00972130">
        <w:t xml:space="preserve">Inconsistency in oversight further undermines credibility. Several participants recounted experiences where different reviewers interpreted the same rule differently, leaving providers caught between conflicting judgments: </w:t>
      </w:r>
      <w:r w:rsidRPr="00972130">
        <w:rPr>
          <w:i/>
          <w:iCs/>
        </w:rPr>
        <w:t>“I’ve been in a room with two auditors and they’ve interpreted the rule differently… why is this my situation?”</w:t>
      </w:r>
    </w:p>
    <w:p w14:paraId="0CB13596" w14:textId="77777777" w:rsidR="00972130" w:rsidRPr="00972130" w:rsidRDefault="00972130" w:rsidP="00972130">
      <w:r w:rsidRPr="00972130">
        <w:t xml:space="preserve">Trust issues were also tied to </w:t>
      </w:r>
      <w:r w:rsidRPr="00972130">
        <w:rPr>
          <w:b/>
          <w:bCs/>
        </w:rPr>
        <w:t>perceived lack of operational understanding</w:t>
      </w:r>
      <w:r w:rsidRPr="00972130">
        <w:t xml:space="preserve"> among SSAs, county boards, and state officials. Providers expressed frustration with being second</w:t>
      </w:r>
      <w:r w:rsidRPr="00972130">
        <w:noBreakHyphen/>
        <w:t>guessed by individuals who lack firsthand experience running services or managing organizations, reinforcing a view that authority is disconnected from expertise.</w:t>
      </w:r>
    </w:p>
    <w:p w14:paraId="05617843" w14:textId="1B244721" w:rsidR="00972130" w:rsidRPr="00972130" w:rsidRDefault="00972130" w:rsidP="00972130"/>
    <w:p w14:paraId="074F61BC" w14:textId="77777777" w:rsidR="00972130" w:rsidRPr="00972130" w:rsidRDefault="00972130" w:rsidP="00972130">
      <w:pPr>
        <w:rPr>
          <w:b/>
          <w:bCs/>
        </w:rPr>
      </w:pPr>
      <w:r w:rsidRPr="00972130">
        <w:rPr>
          <w:b/>
          <w:bCs/>
        </w:rPr>
        <w:t>Theme 5: System Structure, County Boards, and the Need for Leadership</w:t>
      </w:r>
    </w:p>
    <w:p w14:paraId="0B65100A" w14:textId="77777777" w:rsidR="00972130" w:rsidRPr="00972130" w:rsidRDefault="00972130" w:rsidP="00972130">
      <w:r w:rsidRPr="00972130">
        <w:t xml:space="preserve">Discussion repeatedly returned to the structure and role of county boards, with wide agreement that the current configuration contributes to inefficiency, inconsistency, and conflict. Participants described Ohio’s model as fragmented and outdated, noting that </w:t>
      </w:r>
      <w:r w:rsidRPr="00972130">
        <w:rPr>
          <w:i/>
          <w:iCs/>
        </w:rPr>
        <w:t>“it’s the craziest structure in the world… 88 county boards all trying to do things differently.”</w:t>
      </w:r>
    </w:p>
    <w:p w14:paraId="3F24FF96" w14:textId="77777777" w:rsidR="00972130" w:rsidRPr="00972130" w:rsidRDefault="00972130" w:rsidP="00972130">
      <w:r w:rsidRPr="00972130">
        <w:t xml:space="preserve">While opinions differed on whether county boards should be eliminated, restructured, or limited in scope, there was strong consensus that </w:t>
      </w:r>
      <w:r w:rsidRPr="00972130">
        <w:rPr>
          <w:b/>
          <w:bCs/>
        </w:rPr>
        <w:t>their role as stewards of Medicaid dollars and case management creates inherent conflicts of interest</w:t>
      </w:r>
      <w:r w:rsidRPr="00972130">
        <w:t xml:space="preserve">. One Board Member stated plainly: </w:t>
      </w:r>
      <w:r w:rsidRPr="00972130">
        <w:rPr>
          <w:i/>
          <w:iCs/>
        </w:rPr>
        <w:t>“There won’t be trust until the counties get out of doing case management… it’s a monopoly—you can’t fire them.”</w:t>
      </w:r>
    </w:p>
    <w:p w14:paraId="096E00ED" w14:textId="77777777" w:rsidR="00972130" w:rsidRPr="00972130" w:rsidRDefault="00972130" w:rsidP="00972130">
      <w:r w:rsidRPr="00972130">
        <w:t xml:space="preserve">Against this backdrop, OPRA was consistently viewed as needing to move from reactive advocacy to </w:t>
      </w:r>
      <w:r w:rsidRPr="00972130">
        <w:rPr>
          <w:b/>
          <w:bCs/>
        </w:rPr>
        <w:t>proactive leadership</w:t>
      </w:r>
      <w:r w:rsidRPr="00972130">
        <w:t>. Participants called on OPRA to lead discussions about value</w:t>
      </w:r>
      <w:r w:rsidRPr="00972130">
        <w:noBreakHyphen/>
        <w:t xml:space="preserve">based care, define quality measures, engage external experts, and develop contingency plans for system restructuring. As one member emphasized: </w:t>
      </w:r>
      <w:r w:rsidRPr="00972130">
        <w:rPr>
          <w:i/>
          <w:iCs/>
        </w:rPr>
        <w:t>“OPRA needs to be a major leading force… we have to define it and train it.”</w:t>
      </w:r>
    </w:p>
    <w:p w14:paraId="5C2638FF" w14:textId="77777777" w:rsidR="00972130" w:rsidRPr="00972130" w:rsidRDefault="00972130" w:rsidP="00972130">
      <w:r w:rsidRPr="00972130">
        <w:t>There was also strong support for OPRA investing in relationships—among providers, county boards, state agencies, families, and political leaders—and for involving members more directly in shaping strategy and messaging.</w:t>
      </w:r>
    </w:p>
    <w:p w14:paraId="4165719E" w14:textId="78FAF5A2" w:rsidR="00972130" w:rsidRPr="00972130" w:rsidRDefault="00972130" w:rsidP="00972130"/>
    <w:p w14:paraId="6BC49236" w14:textId="77777777" w:rsidR="00972130" w:rsidRPr="00972130" w:rsidRDefault="00972130" w:rsidP="00972130">
      <w:pPr>
        <w:rPr>
          <w:b/>
          <w:bCs/>
        </w:rPr>
      </w:pPr>
      <w:r w:rsidRPr="00972130">
        <w:rPr>
          <w:b/>
          <w:bCs/>
        </w:rPr>
        <w:t>Key Findings (Bullet Summary)</w:t>
      </w:r>
    </w:p>
    <w:p w14:paraId="6F2A1D52" w14:textId="77777777" w:rsidR="00972130" w:rsidRPr="00972130" w:rsidRDefault="00972130" w:rsidP="00972130">
      <w:pPr>
        <w:numPr>
          <w:ilvl w:val="0"/>
          <w:numId w:val="1"/>
        </w:numPr>
      </w:pPr>
      <w:r w:rsidRPr="00972130">
        <w:rPr>
          <w:b/>
          <w:bCs/>
        </w:rPr>
        <w:t>Over</w:t>
      </w:r>
      <w:r w:rsidRPr="00972130">
        <w:rPr>
          <w:b/>
          <w:bCs/>
        </w:rPr>
        <w:noBreakHyphen/>
        <w:t>regulation and complexity</w:t>
      </w:r>
      <w:r w:rsidRPr="00972130">
        <w:t xml:space="preserve"> are undermining provider flexibility, efficiency, and compliance.</w:t>
      </w:r>
    </w:p>
    <w:p w14:paraId="3DB3CECC" w14:textId="77777777" w:rsidR="00972130" w:rsidRPr="00972130" w:rsidRDefault="00972130" w:rsidP="00972130">
      <w:pPr>
        <w:numPr>
          <w:ilvl w:val="0"/>
          <w:numId w:val="1"/>
        </w:numPr>
      </w:pPr>
      <w:r w:rsidRPr="00972130">
        <w:rPr>
          <w:b/>
          <w:bCs/>
        </w:rPr>
        <w:t>Funding uncertainty</w:t>
      </w:r>
      <w:r w:rsidRPr="00972130">
        <w:t xml:space="preserve"> prevents meaningful planning and destabilizes the workforce and service delivery.</w:t>
      </w:r>
    </w:p>
    <w:p w14:paraId="36113343" w14:textId="77777777" w:rsidR="00972130" w:rsidRPr="00972130" w:rsidRDefault="00972130" w:rsidP="00972130">
      <w:pPr>
        <w:numPr>
          <w:ilvl w:val="0"/>
          <w:numId w:val="1"/>
        </w:numPr>
      </w:pPr>
      <w:r w:rsidRPr="00972130">
        <w:t xml:space="preserve">The </w:t>
      </w:r>
      <w:r w:rsidRPr="00972130">
        <w:rPr>
          <w:b/>
          <w:bCs/>
        </w:rPr>
        <w:t>workforce crisis</w:t>
      </w:r>
      <w:r w:rsidRPr="00972130">
        <w:t xml:space="preserve"> is accelerating and increasingly misaligned with current policy expectations.</w:t>
      </w:r>
    </w:p>
    <w:p w14:paraId="4CE8724C" w14:textId="77777777" w:rsidR="00972130" w:rsidRPr="00972130" w:rsidRDefault="00972130" w:rsidP="00972130">
      <w:pPr>
        <w:numPr>
          <w:ilvl w:val="0"/>
          <w:numId w:val="1"/>
        </w:numPr>
      </w:pPr>
      <w:r w:rsidRPr="00972130">
        <w:rPr>
          <w:b/>
          <w:bCs/>
        </w:rPr>
        <w:t>Trust is eroding system</w:t>
      </w:r>
      <w:r w:rsidRPr="00972130">
        <w:rPr>
          <w:b/>
          <w:bCs/>
        </w:rPr>
        <w:noBreakHyphen/>
        <w:t>wide</w:t>
      </w:r>
      <w:r w:rsidRPr="00972130">
        <w:t>, driven by inconsistent oversight, unequal standards, and perceived lack of operational understanding.</w:t>
      </w:r>
    </w:p>
    <w:p w14:paraId="0C75A91A" w14:textId="77777777" w:rsidR="00972130" w:rsidRPr="00972130" w:rsidRDefault="00972130" w:rsidP="00972130">
      <w:pPr>
        <w:numPr>
          <w:ilvl w:val="0"/>
          <w:numId w:val="1"/>
        </w:numPr>
      </w:pPr>
      <w:r w:rsidRPr="00972130">
        <w:t xml:space="preserve">The </w:t>
      </w:r>
      <w:r w:rsidRPr="00972130">
        <w:rPr>
          <w:b/>
          <w:bCs/>
        </w:rPr>
        <w:t>county board structure</w:t>
      </w:r>
      <w:r w:rsidRPr="00972130">
        <w:t xml:space="preserve"> is widely viewed as inefficient and conflict</w:t>
      </w:r>
      <w:r w:rsidRPr="00972130">
        <w:noBreakHyphen/>
        <w:t>prone, especially in its role managing Medicaid dollars.</w:t>
      </w:r>
    </w:p>
    <w:p w14:paraId="18E4F59B" w14:textId="6F45705B" w:rsidR="00972130" w:rsidRPr="00972130" w:rsidRDefault="00016568" w:rsidP="00972130">
      <w:pPr>
        <w:numPr>
          <w:ilvl w:val="0"/>
          <w:numId w:val="1"/>
        </w:numPr>
      </w:pPr>
      <w:r>
        <w:t>Board Members</w:t>
      </w:r>
      <w:r w:rsidRPr="00972130">
        <w:t xml:space="preserve"> </w:t>
      </w:r>
      <w:r w:rsidR="00972130" w:rsidRPr="00972130">
        <w:t xml:space="preserve">support </w:t>
      </w:r>
      <w:r w:rsidR="00972130" w:rsidRPr="00972130">
        <w:rPr>
          <w:b/>
          <w:bCs/>
        </w:rPr>
        <w:t>simplification, transparency, and shared accountability</w:t>
      </w:r>
      <w:r w:rsidR="00972130" w:rsidRPr="00972130">
        <w:t xml:space="preserve"> as pathways to restoring credibility.</w:t>
      </w:r>
    </w:p>
    <w:p w14:paraId="22AF06C3" w14:textId="77777777" w:rsidR="00972130" w:rsidRPr="00972130" w:rsidRDefault="00972130" w:rsidP="00972130">
      <w:pPr>
        <w:numPr>
          <w:ilvl w:val="0"/>
          <w:numId w:val="1"/>
        </w:numPr>
      </w:pPr>
      <w:r w:rsidRPr="00972130">
        <w:t xml:space="preserve">OPRA is expected to </w:t>
      </w:r>
      <w:r w:rsidRPr="00972130">
        <w:rPr>
          <w:b/>
          <w:bCs/>
        </w:rPr>
        <w:t>lead proactively</w:t>
      </w:r>
      <w:r w:rsidRPr="00972130">
        <w:t>, define value and quality, engage experts, plan for structural change, and strengthen partnerships.</w:t>
      </w:r>
    </w:p>
    <w:p w14:paraId="2FA33D4F" w14:textId="77777777" w:rsidR="00972130" w:rsidRPr="00972130" w:rsidRDefault="00972130" w:rsidP="00972130">
      <w:pPr>
        <w:numPr>
          <w:ilvl w:val="0"/>
          <w:numId w:val="1"/>
        </w:numPr>
      </w:pPr>
      <w:r w:rsidRPr="00972130">
        <w:t>Long</w:t>
      </w:r>
      <w:r w:rsidRPr="00972130">
        <w:noBreakHyphen/>
        <w:t xml:space="preserve">term stability requires </w:t>
      </w:r>
      <w:r w:rsidRPr="00972130">
        <w:rPr>
          <w:b/>
          <w:bCs/>
        </w:rPr>
        <w:t>predictable rate structures</w:t>
      </w:r>
      <w:r w:rsidRPr="00972130">
        <w:t>, leadership continuity, and informed stewardship of Medicaid resources.</w:t>
      </w:r>
    </w:p>
    <w:p w14:paraId="0CB52393" w14:textId="77777777" w:rsidR="00F01113" w:rsidRDefault="00F01113"/>
    <w:p w14:paraId="1500A7F3" w14:textId="6518155B" w:rsidR="00972130" w:rsidRPr="00972130" w:rsidRDefault="00972130" w:rsidP="00972130">
      <w:pPr>
        <w:rPr>
          <w:b/>
          <w:bCs/>
          <w:sz w:val="28"/>
          <w:szCs w:val="28"/>
          <w:u w:val="single"/>
        </w:rPr>
      </w:pPr>
      <w:r w:rsidRPr="00972130">
        <w:rPr>
          <w:b/>
          <w:bCs/>
          <w:sz w:val="28"/>
          <w:szCs w:val="28"/>
          <w:u w:val="single"/>
        </w:rPr>
        <w:t xml:space="preserve">Strategic </w:t>
      </w:r>
      <w:r w:rsidRPr="00B729FC">
        <w:rPr>
          <w:b/>
          <w:bCs/>
          <w:sz w:val="28"/>
          <w:szCs w:val="28"/>
          <w:u w:val="single"/>
        </w:rPr>
        <w:t>Actions</w:t>
      </w:r>
    </w:p>
    <w:p w14:paraId="5537CD8C" w14:textId="77777777" w:rsidR="00972130" w:rsidRPr="00972130" w:rsidRDefault="00972130" w:rsidP="00972130">
      <w:r w:rsidRPr="00972130">
        <w:t xml:space="preserve">Board Members are asking OPRA to </w:t>
      </w:r>
      <w:r w:rsidRPr="00972130">
        <w:rPr>
          <w:b/>
          <w:bCs/>
        </w:rPr>
        <w:t>shift from responsive advocacy to system leadership</w:t>
      </w:r>
      <w:r w:rsidRPr="00972130">
        <w:t>—defining the future state, shaping policy debate, and equipping providers to navigate significant structural and fiscal change. The following next steps reflect that expectation.</w:t>
      </w:r>
    </w:p>
    <w:p w14:paraId="58D55D82" w14:textId="389C242D" w:rsidR="00972130" w:rsidRPr="00972130" w:rsidRDefault="00972130" w:rsidP="00972130"/>
    <w:p w14:paraId="0C71226A" w14:textId="77777777" w:rsidR="00972130" w:rsidRPr="00972130" w:rsidRDefault="00972130" w:rsidP="00972130">
      <w:pPr>
        <w:rPr>
          <w:b/>
          <w:bCs/>
        </w:rPr>
      </w:pPr>
      <w:r w:rsidRPr="00972130">
        <w:rPr>
          <w:b/>
          <w:bCs/>
        </w:rPr>
        <w:t>I. Immediate (0–6 Months): Stabilize, Align, and Lead the Narrative</w:t>
      </w:r>
    </w:p>
    <w:p w14:paraId="6B41FC58" w14:textId="77777777" w:rsidR="00972130" w:rsidRPr="00972130" w:rsidRDefault="00972130" w:rsidP="00972130">
      <w:pPr>
        <w:rPr>
          <w:b/>
          <w:bCs/>
        </w:rPr>
      </w:pPr>
      <w:r w:rsidRPr="00972130">
        <w:rPr>
          <w:b/>
          <w:bCs/>
        </w:rPr>
        <w:t>1. Articulate OPRA’s System Vision and Non</w:t>
      </w:r>
      <w:r w:rsidRPr="00972130">
        <w:rPr>
          <w:b/>
          <w:bCs/>
        </w:rPr>
        <w:noBreakHyphen/>
        <w:t>Negotiables</w:t>
      </w:r>
    </w:p>
    <w:p w14:paraId="5D7AB2E1" w14:textId="77777777" w:rsidR="00972130" w:rsidRPr="00972130" w:rsidRDefault="00972130" w:rsidP="00972130">
      <w:r w:rsidRPr="00972130">
        <w:rPr>
          <w:b/>
          <w:bCs/>
        </w:rPr>
        <w:t>Action</w:t>
      </w:r>
    </w:p>
    <w:p w14:paraId="472D45C4" w14:textId="77777777" w:rsidR="00972130" w:rsidRPr="00972130" w:rsidRDefault="00972130" w:rsidP="00972130">
      <w:pPr>
        <w:numPr>
          <w:ilvl w:val="0"/>
          <w:numId w:val="2"/>
        </w:numPr>
      </w:pPr>
      <w:r w:rsidRPr="00972130">
        <w:t xml:space="preserve">Develop and adopt a concise OPRA position statement that defines: </w:t>
      </w:r>
    </w:p>
    <w:p w14:paraId="2EDA5CDA" w14:textId="77777777" w:rsidR="00972130" w:rsidRPr="00972130" w:rsidRDefault="00972130" w:rsidP="00972130">
      <w:pPr>
        <w:numPr>
          <w:ilvl w:val="1"/>
          <w:numId w:val="2"/>
        </w:numPr>
      </w:pPr>
      <w:r w:rsidRPr="00972130">
        <w:lastRenderedPageBreak/>
        <w:t>Core principles of system design (simplicity, predictability, accountability)</w:t>
      </w:r>
    </w:p>
    <w:p w14:paraId="0A28D936" w14:textId="77777777" w:rsidR="00972130" w:rsidRPr="00972130" w:rsidRDefault="00972130" w:rsidP="00972130">
      <w:pPr>
        <w:numPr>
          <w:ilvl w:val="1"/>
          <w:numId w:val="2"/>
        </w:numPr>
      </w:pPr>
      <w:r w:rsidRPr="00972130">
        <w:t>OPRA’s stance on value</w:t>
      </w:r>
      <w:r w:rsidRPr="00972130">
        <w:noBreakHyphen/>
        <w:t>based care, quality, and outcomes</w:t>
      </w:r>
    </w:p>
    <w:p w14:paraId="5C21A111" w14:textId="77777777" w:rsidR="00972130" w:rsidRPr="00972130" w:rsidRDefault="00972130" w:rsidP="00972130">
      <w:pPr>
        <w:numPr>
          <w:ilvl w:val="1"/>
          <w:numId w:val="2"/>
        </w:numPr>
      </w:pPr>
      <w:r w:rsidRPr="00972130">
        <w:t>Non</w:t>
      </w:r>
      <w:r w:rsidRPr="00972130">
        <w:noBreakHyphen/>
        <w:t>negotiables regarding funding predictability, workforce sustainability, and transparency</w:t>
      </w:r>
    </w:p>
    <w:p w14:paraId="112CE8B6" w14:textId="77777777" w:rsidR="00972130" w:rsidRPr="00972130" w:rsidRDefault="00972130" w:rsidP="00972130">
      <w:r w:rsidRPr="00972130">
        <w:rPr>
          <w:b/>
          <w:bCs/>
        </w:rPr>
        <w:t>Purpose</w:t>
      </w:r>
    </w:p>
    <w:p w14:paraId="02E8584D" w14:textId="77777777" w:rsidR="00972130" w:rsidRPr="00972130" w:rsidRDefault="00972130" w:rsidP="00972130">
      <w:pPr>
        <w:numPr>
          <w:ilvl w:val="0"/>
          <w:numId w:val="3"/>
        </w:numPr>
      </w:pPr>
      <w:r w:rsidRPr="00972130">
        <w:t>Establish OPRA as the entity defining the conversation—not reacting to it.</w:t>
      </w:r>
    </w:p>
    <w:p w14:paraId="26902EB5" w14:textId="77777777" w:rsidR="00972130" w:rsidRPr="00972130" w:rsidRDefault="00972130" w:rsidP="00972130">
      <w:pPr>
        <w:numPr>
          <w:ilvl w:val="0"/>
          <w:numId w:val="3"/>
        </w:numPr>
      </w:pPr>
      <w:r w:rsidRPr="00972130">
        <w:t>Provide a reference point for members, policymakers, and partners.</w:t>
      </w:r>
    </w:p>
    <w:p w14:paraId="045C9A18" w14:textId="6DF398C3" w:rsidR="00972130" w:rsidRPr="00972130" w:rsidRDefault="00972130" w:rsidP="00972130"/>
    <w:p w14:paraId="6F904802" w14:textId="77777777" w:rsidR="00972130" w:rsidRPr="00972130" w:rsidRDefault="00972130" w:rsidP="00972130">
      <w:pPr>
        <w:rPr>
          <w:b/>
          <w:bCs/>
        </w:rPr>
      </w:pPr>
      <w:r w:rsidRPr="00972130">
        <w:rPr>
          <w:b/>
          <w:bCs/>
        </w:rPr>
        <w:t>2. Establish a Provider</w:t>
      </w:r>
      <w:r w:rsidRPr="00972130">
        <w:rPr>
          <w:b/>
          <w:bCs/>
        </w:rPr>
        <w:noBreakHyphen/>
        <w:t>Led Value and Quality Framework</w:t>
      </w:r>
    </w:p>
    <w:p w14:paraId="0D2764E6" w14:textId="77777777" w:rsidR="00972130" w:rsidRPr="00972130" w:rsidRDefault="00972130" w:rsidP="00972130">
      <w:r w:rsidRPr="00972130">
        <w:rPr>
          <w:b/>
          <w:bCs/>
        </w:rPr>
        <w:t>Action</w:t>
      </w:r>
    </w:p>
    <w:p w14:paraId="3B567BE2" w14:textId="77777777" w:rsidR="00972130" w:rsidRPr="00972130" w:rsidRDefault="00972130" w:rsidP="00972130">
      <w:pPr>
        <w:numPr>
          <w:ilvl w:val="0"/>
          <w:numId w:val="4"/>
        </w:numPr>
      </w:pPr>
      <w:r w:rsidRPr="00972130">
        <w:t>Convene a short</w:t>
      </w:r>
      <w:r w:rsidRPr="00972130">
        <w:noBreakHyphen/>
        <w:t>term, time</w:t>
      </w:r>
      <w:r w:rsidRPr="00972130">
        <w:noBreakHyphen/>
        <w:t xml:space="preserve">limited provider workgroup to: </w:t>
      </w:r>
    </w:p>
    <w:p w14:paraId="7FDB6D02" w14:textId="77777777" w:rsidR="00972130" w:rsidRPr="00972130" w:rsidRDefault="00972130" w:rsidP="00972130">
      <w:pPr>
        <w:numPr>
          <w:ilvl w:val="1"/>
          <w:numId w:val="4"/>
        </w:numPr>
      </w:pPr>
      <w:r w:rsidRPr="00972130">
        <w:t>Identify meaningful quality indicators</w:t>
      </w:r>
    </w:p>
    <w:p w14:paraId="1FF1D2C0" w14:textId="77777777" w:rsidR="00972130" w:rsidRPr="00972130" w:rsidRDefault="00972130" w:rsidP="00972130">
      <w:pPr>
        <w:numPr>
          <w:ilvl w:val="1"/>
          <w:numId w:val="4"/>
        </w:numPr>
      </w:pPr>
      <w:r w:rsidRPr="00972130">
        <w:t>Distinguish between compliance metrics and true outcome measures</w:t>
      </w:r>
    </w:p>
    <w:p w14:paraId="1B2ECE51" w14:textId="77777777" w:rsidR="00972130" w:rsidRPr="00972130" w:rsidRDefault="00972130" w:rsidP="00972130">
      <w:pPr>
        <w:numPr>
          <w:ilvl w:val="1"/>
          <w:numId w:val="4"/>
        </w:numPr>
      </w:pPr>
      <w:r w:rsidRPr="00972130">
        <w:t>Propose a provider</w:t>
      </w:r>
      <w:r w:rsidRPr="00972130">
        <w:noBreakHyphen/>
        <w:t>informed value framework tied to future funding models</w:t>
      </w:r>
    </w:p>
    <w:p w14:paraId="6DADC699" w14:textId="77777777" w:rsidR="00972130" w:rsidRPr="00972130" w:rsidRDefault="00972130" w:rsidP="00972130">
      <w:r w:rsidRPr="00972130">
        <w:rPr>
          <w:b/>
          <w:bCs/>
        </w:rPr>
        <w:t>Purpose</w:t>
      </w:r>
    </w:p>
    <w:p w14:paraId="3EA8DF3B" w14:textId="77777777" w:rsidR="00972130" w:rsidRPr="00972130" w:rsidRDefault="00972130" w:rsidP="00972130">
      <w:pPr>
        <w:numPr>
          <w:ilvl w:val="0"/>
          <w:numId w:val="5"/>
        </w:numPr>
      </w:pPr>
      <w:r w:rsidRPr="00972130">
        <w:t>Ensure providers—not solely government agencies—define what “quality” means.</w:t>
      </w:r>
    </w:p>
    <w:p w14:paraId="6F88B9D1" w14:textId="77777777" w:rsidR="00972130" w:rsidRPr="00972130" w:rsidRDefault="00972130" w:rsidP="00972130">
      <w:pPr>
        <w:numPr>
          <w:ilvl w:val="0"/>
          <w:numId w:val="5"/>
        </w:numPr>
      </w:pPr>
      <w:r w:rsidRPr="00972130">
        <w:t>Prepare members for value</w:t>
      </w:r>
      <w:r w:rsidRPr="00972130">
        <w:noBreakHyphen/>
        <w:t>based funding discussions before metrics are imposed.</w:t>
      </w:r>
    </w:p>
    <w:p w14:paraId="6B4D6987" w14:textId="314E1782" w:rsidR="00972130" w:rsidRPr="00972130" w:rsidRDefault="00972130" w:rsidP="00972130"/>
    <w:p w14:paraId="13D661BF" w14:textId="77777777" w:rsidR="00972130" w:rsidRPr="00972130" w:rsidRDefault="00972130" w:rsidP="00972130">
      <w:pPr>
        <w:rPr>
          <w:b/>
          <w:bCs/>
        </w:rPr>
      </w:pPr>
      <w:r w:rsidRPr="00972130">
        <w:rPr>
          <w:b/>
          <w:bCs/>
        </w:rPr>
        <w:t>3. Create a Rapid Response Strategy for Funding and Structural Disruptions</w:t>
      </w:r>
    </w:p>
    <w:p w14:paraId="2270A00D" w14:textId="77777777" w:rsidR="00972130" w:rsidRPr="00972130" w:rsidRDefault="00972130" w:rsidP="00972130">
      <w:r w:rsidRPr="00972130">
        <w:rPr>
          <w:b/>
          <w:bCs/>
        </w:rPr>
        <w:t>Action</w:t>
      </w:r>
    </w:p>
    <w:p w14:paraId="55B8C706" w14:textId="77777777" w:rsidR="00972130" w:rsidRPr="00972130" w:rsidRDefault="00972130" w:rsidP="00972130">
      <w:pPr>
        <w:numPr>
          <w:ilvl w:val="0"/>
          <w:numId w:val="6"/>
        </w:numPr>
      </w:pPr>
      <w:r w:rsidRPr="00972130">
        <w:t xml:space="preserve">Develop internal scenario planning around: </w:t>
      </w:r>
    </w:p>
    <w:p w14:paraId="2CB802C7" w14:textId="77777777" w:rsidR="00972130" w:rsidRPr="00972130" w:rsidRDefault="00972130" w:rsidP="00972130">
      <w:pPr>
        <w:numPr>
          <w:ilvl w:val="1"/>
          <w:numId w:val="6"/>
        </w:numPr>
      </w:pPr>
      <w:r w:rsidRPr="00972130">
        <w:t>County board fiscal failure or restructuring</w:t>
      </w:r>
    </w:p>
    <w:p w14:paraId="2A4F5EB7" w14:textId="77777777" w:rsidR="00972130" w:rsidRPr="00972130" w:rsidRDefault="00972130" w:rsidP="00972130">
      <w:pPr>
        <w:numPr>
          <w:ilvl w:val="1"/>
          <w:numId w:val="6"/>
        </w:numPr>
      </w:pPr>
      <w:r w:rsidRPr="00972130">
        <w:t>Medicaid funding shortfalls</w:t>
      </w:r>
    </w:p>
    <w:p w14:paraId="41F164D4" w14:textId="77777777" w:rsidR="00972130" w:rsidRPr="00972130" w:rsidRDefault="00972130" w:rsidP="00972130">
      <w:pPr>
        <w:numPr>
          <w:ilvl w:val="1"/>
          <w:numId w:val="6"/>
        </w:numPr>
      </w:pPr>
      <w:r w:rsidRPr="00972130">
        <w:t>Shifts in gubernatorial or cabinet</w:t>
      </w:r>
      <w:r w:rsidRPr="00972130">
        <w:noBreakHyphen/>
        <w:t>level leadership</w:t>
      </w:r>
    </w:p>
    <w:p w14:paraId="64B5E464" w14:textId="77777777" w:rsidR="00972130" w:rsidRPr="00972130" w:rsidRDefault="00972130" w:rsidP="00972130">
      <w:pPr>
        <w:numPr>
          <w:ilvl w:val="0"/>
          <w:numId w:val="6"/>
        </w:numPr>
      </w:pPr>
      <w:r w:rsidRPr="00972130">
        <w:t>Draft clear OPRA positions for each plausible scenario.</w:t>
      </w:r>
    </w:p>
    <w:p w14:paraId="3107C631" w14:textId="77777777" w:rsidR="00972130" w:rsidRPr="00972130" w:rsidRDefault="00972130" w:rsidP="00972130">
      <w:r w:rsidRPr="00972130">
        <w:rPr>
          <w:b/>
          <w:bCs/>
        </w:rPr>
        <w:t>Purpose</w:t>
      </w:r>
    </w:p>
    <w:p w14:paraId="124B14EE" w14:textId="77777777" w:rsidR="00972130" w:rsidRPr="00972130" w:rsidRDefault="00972130" w:rsidP="00972130">
      <w:pPr>
        <w:numPr>
          <w:ilvl w:val="0"/>
          <w:numId w:val="7"/>
        </w:numPr>
      </w:pPr>
      <w:r w:rsidRPr="00972130">
        <w:lastRenderedPageBreak/>
        <w:t>Avoid paralysis during disruption.</w:t>
      </w:r>
    </w:p>
    <w:p w14:paraId="656E9ABE" w14:textId="77777777" w:rsidR="00972130" w:rsidRPr="00972130" w:rsidRDefault="00972130" w:rsidP="00972130">
      <w:pPr>
        <w:numPr>
          <w:ilvl w:val="0"/>
          <w:numId w:val="7"/>
        </w:numPr>
      </w:pPr>
      <w:r w:rsidRPr="00972130">
        <w:t>Enable OPRA to speak decisively during moments of instability.</w:t>
      </w:r>
    </w:p>
    <w:p w14:paraId="5F335246" w14:textId="3DDE77AE" w:rsidR="00972130" w:rsidRPr="00972130" w:rsidRDefault="00972130" w:rsidP="00972130"/>
    <w:p w14:paraId="4EE82CCF" w14:textId="77777777" w:rsidR="00972130" w:rsidRPr="00972130" w:rsidRDefault="00972130" w:rsidP="00972130">
      <w:pPr>
        <w:rPr>
          <w:b/>
          <w:bCs/>
        </w:rPr>
      </w:pPr>
      <w:r w:rsidRPr="00972130">
        <w:rPr>
          <w:b/>
          <w:bCs/>
        </w:rPr>
        <w:t>II. Near</w:t>
      </w:r>
      <w:r w:rsidRPr="00972130">
        <w:rPr>
          <w:b/>
          <w:bCs/>
        </w:rPr>
        <w:noBreakHyphen/>
        <w:t>Term (6–12 Months): Build Influence and Infrastructure</w:t>
      </w:r>
    </w:p>
    <w:p w14:paraId="3C0BD1D3" w14:textId="77777777" w:rsidR="00972130" w:rsidRPr="00972130" w:rsidRDefault="00972130" w:rsidP="00972130">
      <w:pPr>
        <w:rPr>
          <w:b/>
          <w:bCs/>
        </w:rPr>
      </w:pPr>
      <w:r w:rsidRPr="00972130">
        <w:rPr>
          <w:b/>
          <w:bCs/>
        </w:rPr>
        <w:t>4. Advance a Predictable Rate Structure Proposal</w:t>
      </w:r>
    </w:p>
    <w:p w14:paraId="2C7D5037" w14:textId="77777777" w:rsidR="00972130" w:rsidRPr="00972130" w:rsidRDefault="00972130" w:rsidP="00972130">
      <w:r w:rsidRPr="00972130">
        <w:rPr>
          <w:b/>
          <w:bCs/>
        </w:rPr>
        <w:t>Action</w:t>
      </w:r>
    </w:p>
    <w:p w14:paraId="5E7B092C" w14:textId="77777777" w:rsidR="00972130" w:rsidRPr="00972130" w:rsidRDefault="00972130" w:rsidP="00972130">
      <w:pPr>
        <w:numPr>
          <w:ilvl w:val="0"/>
          <w:numId w:val="8"/>
        </w:numPr>
      </w:pPr>
      <w:r w:rsidRPr="00972130">
        <w:t xml:space="preserve">Develop and promote a policy proposal that: </w:t>
      </w:r>
    </w:p>
    <w:p w14:paraId="311BC9DB" w14:textId="77777777" w:rsidR="00972130" w:rsidRPr="00972130" w:rsidRDefault="00972130" w:rsidP="00972130">
      <w:pPr>
        <w:numPr>
          <w:ilvl w:val="1"/>
          <w:numId w:val="8"/>
        </w:numPr>
      </w:pPr>
      <w:r w:rsidRPr="00972130">
        <w:t>Establishes built</w:t>
      </w:r>
      <w:r w:rsidRPr="00972130">
        <w:noBreakHyphen/>
        <w:t>in rate adjustments (e.g., inflation or cost</w:t>
      </w:r>
      <w:r w:rsidRPr="00972130">
        <w:noBreakHyphen/>
        <w:t>based escalators)</w:t>
      </w:r>
    </w:p>
    <w:p w14:paraId="121BAD7B" w14:textId="77777777" w:rsidR="00972130" w:rsidRPr="00972130" w:rsidRDefault="00972130" w:rsidP="00972130">
      <w:pPr>
        <w:numPr>
          <w:ilvl w:val="1"/>
          <w:numId w:val="8"/>
        </w:numPr>
      </w:pPr>
      <w:r w:rsidRPr="00972130">
        <w:t>Improves multi</w:t>
      </w:r>
      <w:r w:rsidRPr="00972130">
        <w:noBreakHyphen/>
        <w:t>year funding predictability</w:t>
      </w:r>
    </w:p>
    <w:p w14:paraId="4ADAEFC5" w14:textId="77777777" w:rsidR="00972130" w:rsidRPr="00972130" w:rsidRDefault="00972130" w:rsidP="00972130">
      <w:pPr>
        <w:numPr>
          <w:ilvl w:val="1"/>
          <w:numId w:val="8"/>
        </w:numPr>
      </w:pPr>
      <w:r w:rsidRPr="00972130">
        <w:t>Accounts for regional cost differences and workforce pressures</w:t>
      </w:r>
    </w:p>
    <w:p w14:paraId="4C2D3939" w14:textId="77777777" w:rsidR="00972130" w:rsidRPr="00972130" w:rsidRDefault="00972130" w:rsidP="00972130">
      <w:r w:rsidRPr="00972130">
        <w:rPr>
          <w:b/>
          <w:bCs/>
        </w:rPr>
        <w:t>Purpose</w:t>
      </w:r>
    </w:p>
    <w:p w14:paraId="7DF925AE" w14:textId="77777777" w:rsidR="00972130" w:rsidRPr="00972130" w:rsidRDefault="00972130" w:rsidP="00972130">
      <w:pPr>
        <w:numPr>
          <w:ilvl w:val="0"/>
          <w:numId w:val="9"/>
        </w:numPr>
      </w:pPr>
      <w:r w:rsidRPr="00972130">
        <w:t>Address the most consistent provider concern: inability to plan.</w:t>
      </w:r>
    </w:p>
    <w:p w14:paraId="5A278C94" w14:textId="77777777" w:rsidR="00972130" w:rsidRPr="00972130" w:rsidRDefault="00972130" w:rsidP="00972130">
      <w:pPr>
        <w:numPr>
          <w:ilvl w:val="0"/>
          <w:numId w:val="9"/>
        </w:numPr>
      </w:pPr>
      <w:r w:rsidRPr="00972130">
        <w:t>Shift advocacy from episodic rate increases to structural reform.</w:t>
      </w:r>
    </w:p>
    <w:p w14:paraId="3A48FA15" w14:textId="7AD8C336" w:rsidR="00972130" w:rsidRPr="00972130" w:rsidRDefault="00972130" w:rsidP="00972130"/>
    <w:p w14:paraId="1CAEDC2F" w14:textId="77777777" w:rsidR="00972130" w:rsidRPr="00972130" w:rsidRDefault="00972130" w:rsidP="00972130">
      <w:pPr>
        <w:rPr>
          <w:b/>
          <w:bCs/>
        </w:rPr>
      </w:pPr>
      <w:r w:rsidRPr="00972130">
        <w:rPr>
          <w:b/>
          <w:bCs/>
        </w:rPr>
        <w:t>5. Lead a System Simplification Agenda</w:t>
      </w:r>
    </w:p>
    <w:p w14:paraId="7B41C7C5" w14:textId="77777777" w:rsidR="00972130" w:rsidRPr="00972130" w:rsidRDefault="00972130" w:rsidP="00972130">
      <w:r w:rsidRPr="00972130">
        <w:rPr>
          <w:b/>
          <w:bCs/>
        </w:rPr>
        <w:t>Action</w:t>
      </w:r>
    </w:p>
    <w:p w14:paraId="2599C276" w14:textId="77777777" w:rsidR="00972130" w:rsidRPr="00972130" w:rsidRDefault="00972130" w:rsidP="00972130">
      <w:pPr>
        <w:numPr>
          <w:ilvl w:val="0"/>
          <w:numId w:val="10"/>
        </w:numPr>
      </w:pPr>
      <w:r w:rsidRPr="00972130">
        <w:t xml:space="preserve">Identify and prioritize: </w:t>
      </w:r>
    </w:p>
    <w:p w14:paraId="16C5DFF1" w14:textId="77777777" w:rsidR="00972130" w:rsidRPr="00972130" w:rsidRDefault="00972130" w:rsidP="00972130">
      <w:pPr>
        <w:numPr>
          <w:ilvl w:val="1"/>
          <w:numId w:val="10"/>
        </w:numPr>
      </w:pPr>
      <w:r w:rsidRPr="00972130">
        <w:t>Redundant or unnecessary documentation requirements</w:t>
      </w:r>
    </w:p>
    <w:p w14:paraId="402CE76F" w14:textId="77777777" w:rsidR="00972130" w:rsidRPr="00972130" w:rsidRDefault="00972130" w:rsidP="00972130">
      <w:pPr>
        <w:numPr>
          <w:ilvl w:val="1"/>
          <w:numId w:val="10"/>
        </w:numPr>
      </w:pPr>
      <w:r w:rsidRPr="00972130">
        <w:t>Billing and coding complexity that increases error risk</w:t>
      </w:r>
    </w:p>
    <w:p w14:paraId="15B760B9" w14:textId="77777777" w:rsidR="00972130" w:rsidRPr="00972130" w:rsidRDefault="00972130" w:rsidP="00972130">
      <w:pPr>
        <w:numPr>
          <w:ilvl w:val="1"/>
          <w:numId w:val="10"/>
        </w:numPr>
      </w:pPr>
      <w:r w:rsidRPr="00972130">
        <w:t>Areas where simplification could reduce fraud risk unintentionally created by system complexity</w:t>
      </w:r>
    </w:p>
    <w:p w14:paraId="3706530D" w14:textId="77777777" w:rsidR="00972130" w:rsidRPr="00972130" w:rsidRDefault="00972130" w:rsidP="00972130">
      <w:pPr>
        <w:numPr>
          <w:ilvl w:val="0"/>
          <w:numId w:val="10"/>
        </w:numPr>
      </w:pPr>
      <w:r w:rsidRPr="00972130">
        <w:t>Package recommendations into a clear simplification platform.</w:t>
      </w:r>
    </w:p>
    <w:p w14:paraId="08ACFC42" w14:textId="77777777" w:rsidR="00972130" w:rsidRPr="00972130" w:rsidRDefault="00972130" w:rsidP="00972130">
      <w:r w:rsidRPr="00972130">
        <w:rPr>
          <w:b/>
          <w:bCs/>
        </w:rPr>
        <w:t>Purpose</w:t>
      </w:r>
    </w:p>
    <w:p w14:paraId="6F561DFB" w14:textId="77777777" w:rsidR="00972130" w:rsidRPr="00972130" w:rsidRDefault="00972130" w:rsidP="00972130">
      <w:pPr>
        <w:numPr>
          <w:ilvl w:val="0"/>
          <w:numId w:val="11"/>
        </w:numPr>
      </w:pPr>
      <w:r w:rsidRPr="00972130">
        <w:t>Improve compliance through clarity, not punishment.</w:t>
      </w:r>
    </w:p>
    <w:p w14:paraId="55C91441" w14:textId="77777777" w:rsidR="00972130" w:rsidRPr="00972130" w:rsidRDefault="00972130" w:rsidP="00972130">
      <w:pPr>
        <w:numPr>
          <w:ilvl w:val="0"/>
          <w:numId w:val="11"/>
        </w:numPr>
      </w:pPr>
      <w:r w:rsidRPr="00972130">
        <w:t>Reframe fraud, waste, and abuse conversations around system design.</w:t>
      </w:r>
    </w:p>
    <w:p w14:paraId="1E1AD503" w14:textId="44EA2ED5" w:rsidR="00972130" w:rsidRPr="00972130" w:rsidRDefault="00972130" w:rsidP="00972130"/>
    <w:p w14:paraId="066A8DF0" w14:textId="77777777" w:rsidR="00972130" w:rsidRPr="00972130" w:rsidRDefault="00972130" w:rsidP="00972130">
      <w:pPr>
        <w:rPr>
          <w:b/>
          <w:bCs/>
        </w:rPr>
      </w:pPr>
      <w:r w:rsidRPr="00972130">
        <w:rPr>
          <w:b/>
          <w:bCs/>
        </w:rPr>
        <w:lastRenderedPageBreak/>
        <w:t>6. Invest in Relationship Repair and Cross</w:t>
      </w:r>
      <w:r w:rsidRPr="00972130">
        <w:rPr>
          <w:b/>
          <w:bCs/>
        </w:rPr>
        <w:noBreakHyphen/>
        <w:t>System Dialogue</w:t>
      </w:r>
    </w:p>
    <w:p w14:paraId="40D3EC5B" w14:textId="77777777" w:rsidR="00972130" w:rsidRPr="00972130" w:rsidRDefault="00972130" w:rsidP="00972130">
      <w:r w:rsidRPr="00972130">
        <w:rPr>
          <w:b/>
          <w:bCs/>
        </w:rPr>
        <w:t>Action</w:t>
      </w:r>
    </w:p>
    <w:p w14:paraId="1D1F336E" w14:textId="77777777" w:rsidR="00972130" w:rsidRPr="00972130" w:rsidRDefault="00972130" w:rsidP="00972130">
      <w:pPr>
        <w:numPr>
          <w:ilvl w:val="0"/>
          <w:numId w:val="12"/>
        </w:numPr>
      </w:pPr>
      <w:r w:rsidRPr="00972130">
        <w:t xml:space="preserve">Pursue structured, facilitated dialogue among: </w:t>
      </w:r>
    </w:p>
    <w:p w14:paraId="5104CAAB" w14:textId="77777777" w:rsidR="00972130" w:rsidRPr="00972130" w:rsidRDefault="00972130" w:rsidP="00972130">
      <w:pPr>
        <w:numPr>
          <w:ilvl w:val="1"/>
          <w:numId w:val="12"/>
        </w:numPr>
      </w:pPr>
      <w:r w:rsidRPr="00972130">
        <w:t>OPRA</w:t>
      </w:r>
    </w:p>
    <w:p w14:paraId="3FDFD571" w14:textId="77777777" w:rsidR="00972130" w:rsidRPr="00972130" w:rsidRDefault="00972130" w:rsidP="00972130">
      <w:pPr>
        <w:numPr>
          <w:ilvl w:val="1"/>
          <w:numId w:val="12"/>
        </w:numPr>
      </w:pPr>
      <w:r w:rsidRPr="00972130">
        <w:t>County boards</w:t>
      </w:r>
    </w:p>
    <w:p w14:paraId="090C294B" w14:textId="77777777" w:rsidR="00972130" w:rsidRPr="00972130" w:rsidRDefault="00972130" w:rsidP="00972130">
      <w:pPr>
        <w:numPr>
          <w:ilvl w:val="1"/>
          <w:numId w:val="12"/>
        </w:numPr>
      </w:pPr>
      <w:r w:rsidRPr="00972130">
        <w:t>DODD / Medicaid leadership</w:t>
      </w:r>
    </w:p>
    <w:p w14:paraId="3298E289" w14:textId="77777777" w:rsidR="00972130" w:rsidRPr="00972130" w:rsidRDefault="00972130" w:rsidP="00972130">
      <w:pPr>
        <w:numPr>
          <w:ilvl w:val="0"/>
          <w:numId w:val="12"/>
        </w:numPr>
      </w:pPr>
      <w:r w:rsidRPr="00972130">
        <w:t>Consider use of a neutral mediator or systems expert.</w:t>
      </w:r>
    </w:p>
    <w:p w14:paraId="2E3775C4" w14:textId="77777777" w:rsidR="00972130" w:rsidRPr="00972130" w:rsidRDefault="00972130" w:rsidP="00972130">
      <w:r w:rsidRPr="00972130">
        <w:rPr>
          <w:b/>
          <w:bCs/>
        </w:rPr>
        <w:t>Purpose</w:t>
      </w:r>
    </w:p>
    <w:p w14:paraId="20ADAB6F" w14:textId="77777777" w:rsidR="00972130" w:rsidRPr="00972130" w:rsidRDefault="00972130" w:rsidP="00972130">
      <w:pPr>
        <w:numPr>
          <w:ilvl w:val="0"/>
          <w:numId w:val="13"/>
        </w:numPr>
      </w:pPr>
      <w:r w:rsidRPr="00972130">
        <w:t>Rebuild trust and working relationships.</w:t>
      </w:r>
    </w:p>
    <w:p w14:paraId="419682E3" w14:textId="77777777" w:rsidR="00972130" w:rsidRPr="00972130" w:rsidRDefault="00972130" w:rsidP="00972130">
      <w:pPr>
        <w:numPr>
          <w:ilvl w:val="0"/>
          <w:numId w:val="13"/>
        </w:numPr>
      </w:pPr>
      <w:r w:rsidRPr="00972130">
        <w:t>Reduce defensive posturing and misalignment.</w:t>
      </w:r>
    </w:p>
    <w:p w14:paraId="462815D5" w14:textId="7D195EC0" w:rsidR="00972130" w:rsidRPr="00972130" w:rsidRDefault="00972130" w:rsidP="00972130"/>
    <w:p w14:paraId="0ADA5E47" w14:textId="77777777" w:rsidR="00972130" w:rsidRPr="00972130" w:rsidRDefault="00972130" w:rsidP="00972130">
      <w:pPr>
        <w:rPr>
          <w:b/>
          <w:bCs/>
        </w:rPr>
      </w:pPr>
      <w:r w:rsidRPr="00972130">
        <w:rPr>
          <w:b/>
          <w:bCs/>
        </w:rPr>
        <w:t>III. Medium</w:t>
      </w:r>
      <w:r w:rsidRPr="00972130">
        <w:rPr>
          <w:b/>
          <w:bCs/>
        </w:rPr>
        <w:noBreakHyphen/>
        <w:t>Term (12–24 Months): Shape System Redesign</w:t>
      </w:r>
    </w:p>
    <w:p w14:paraId="765F91B9" w14:textId="77777777" w:rsidR="00972130" w:rsidRPr="00972130" w:rsidRDefault="00972130" w:rsidP="00972130">
      <w:pPr>
        <w:rPr>
          <w:b/>
          <w:bCs/>
        </w:rPr>
      </w:pPr>
      <w:r w:rsidRPr="00972130">
        <w:rPr>
          <w:b/>
          <w:bCs/>
        </w:rPr>
        <w:t>7. Develop and Publish Structural Reform Options</w:t>
      </w:r>
    </w:p>
    <w:p w14:paraId="4B664E6F" w14:textId="77777777" w:rsidR="00972130" w:rsidRPr="00972130" w:rsidRDefault="00972130" w:rsidP="00972130">
      <w:r w:rsidRPr="00972130">
        <w:rPr>
          <w:b/>
          <w:bCs/>
        </w:rPr>
        <w:t>Action</w:t>
      </w:r>
    </w:p>
    <w:p w14:paraId="2EDBC547" w14:textId="77777777" w:rsidR="00972130" w:rsidRPr="00972130" w:rsidRDefault="00972130" w:rsidP="00972130">
      <w:pPr>
        <w:numPr>
          <w:ilvl w:val="0"/>
          <w:numId w:val="14"/>
        </w:numPr>
      </w:pPr>
      <w:r w:rsidRPr="00972130">
        <w:t xml:space="preserve">Commission or conduct a comparative analysis of: </w:t>
      </w:r>
    </w:p>
    <w:p w14:paraId="402BFD2D" w14:textId="77777777" w:rsidR="00972130" w:rsidRPr="00972130" w:rsidRDefault="00972130" w:rsidP="00972130">
      <w:pPr>
        <w:numPr>
          <w:ilvl w:val="1"/>
          <w:numId w:val="14"/>
        </w:numPr>
      </w:pPr>
      <w:r w:rsidRPr="00972130">
        <w:t>Other states’ DD system governance models</w:t>
      </w:r>
    </w:p>
    <w:p w14:paraId="729C6CA7" w14:textId="77777777" w:rsidR="00972130" w:rsidRPr="00972130" w:rsidRDefault="00972130" w:rsidP="00972130">
      <w:pPr>
        <w:numPr>
          <w:ilvl w:val="1"/>
          <w:numId w:val="14"/>
        </w:numPr>
      </w:pPr>
      <w:r w:rsidRPr="00972130">
        <w:t>Alternatives to county</w:t>
      </w:r>
      <w:r w:rsidRPr="00972130">
        <w:noBreakHyphen/>
        <w:t>board</w:t>
      </w:r>
      <w:r w:rsidRPr="00972130">
        <w:noBreakHyphen/>
        <w:t>centered Medicaid stewardship</w:t>
      </w:r>
    </w:p>
    <w:p w14:paraId="7601438B" w14:textId="77777777" w:rsidR="00972130" w:rsidRPr="00972130" w:rsidRDefault="00972130" w:rsidP="00972130">
      <w:pPr>
        <w:numPr>
          <w:ilvl w:val="1"/>
          <w:numId w:val="14"/>
        </w:numPr>
      </w:pPr>
      <w:r w:rsidRPr="00972130">
        <w:t>Regionalization or shared</w:t>
      </w:r>
      <w:r w:rsidRPr="00972130">
        <w:noBreakHyphen/>
        <w:t>service models</w:t>
      </w:r>
    </w:p>
    <w:p w14:paraId="29891585" w14:textId="77777777" w:rsidR="00972130" w:rsidRPr="00972130" w:rsidRDefault="00972130" w:rsidP="00972130">
      <w:pPr>
        <w:numPr>
          <w:ilvl w:val="0"/>
          <w:numId w:val="14"/>
        </w:numPr>
      </w:pPr>
      <w:r w:rsidRPr="00972130">
        <w:t>Clearly articulate transition pathways—not just end states.</w:t>
      </w:r>
    </w:p>
    <w:p w14:paraId="0B0B6A0F" w14:textId="77777777" w:rsidR="00972130" w:rsidRPr="00972130" w:rsidRDefault="00972130" w:rsidP="00972130">
      <w:r w:rsidRPr="00972130">
        <w:rPr>
          <w:b/>
          <w:bCs/>
        </w:rPr>
        <w:t>Purpose</w:t>
      </w:r>
    </w:p>
    <w:p w14:paraId="4FF073A7" w14:textId="77777777" w:rsidR="00972130" w:rsidRPr="00972130" w:rsidRDefault="00972130" w:rsidP="00972130">
      <w:pPr>
        <w:numPr>
          <w:ilvl w:val="0"/>
          <w:numId w:val="15"/>
        </w:numPr>
      </w:pPr>
      <w:r w:rsidRPr="00972130">
        <w:t>Move beyond critique to credible solutions.</w:t>
      </w:r>
    </w:p>
    <w:p w14:paraId="56919BF8" w14:textId="77777777" w:rsidR="00972130" w:rsidRPr="00972130" w:rsidRDefault="00972130" w:rsidP="00972130">
      <w:pPr>
        <w:numPr>
          <w:ilvl w:val="0"/>
          <w:numId w:val="15"/>
        </w:numPr>
      </w:pPr>
      <w:r w:rsidRPr="00972130">
        <w:t>Ensure OPRA owns reform proposals before political windows open.</w:t>
      </w:r>
    </w:p>
    <w:p w14:paraId="2B194BD1" w14:textId="63EF82B1" w:rsidR="00972130" w:rsidRPr="00972130" w:rsidRDefault="00972130" w:rsidP="00972130"/>
    <w:p w14:paraId="047E58C9" w14:textId="77777777" w:rsidR="00972130" w:rsidRPr="00972130" w:rsidRDefault="00972130" w:rsidP="00972130">
      <w:pPr>
        <w:rPr>
          <w:b/>
          <w:bCs/>
        </w:rPr>
      </w:pPr>
      <w:r w:rsidRPr="00972130">
        <w:rPr>
          <w:b/>
          <w:bCs/>
        </w:rPr>
        <w:t>8. Strengthen OPRA’s Capacity and Participation Model</w:t>
      </w:r>
    </w:p>
    <w:p w14:paraId="7E20D1E9" w14:textId="77777777" w:rsidR="00972130" w:rsidRPr="00972130" w:rsidRDefault="00972130" w:rsidP="00972130">
      <w:r w:rsidRPr="00972130">
        <w:rPr>
          <w:b/>
          <w:bCs/>
        </w:rPr>
        <w:t>Action</w:t>
      </w:r>
    </w:p>
    <w:p w14:paraId="4C21CF01" w14:textId="77777777" w:rsidR="00972130" w:rsidRPr="00972130" w:rsidRDefault="00972130" w:rsidP="00972130">
      <w:pPr>
        <w:numPr>
          <w:ilvl w:val="0"/>
          <w:numId w:val="16"/>
        </w:numPr>
      </w:pPr>
      <w:r w:rsidRPr="00972130">
        <w:t xml:space="preserve">Expand mechanisms for: </w:t>
      </w:r>
    </w:p>
    <w:p w14:paraId="480F40D7" w14:textId="77777777" w:rsidR="00972130" w:rsidRPr="00972130" w:rsidRDefault="00972130" w:rsidP="00972130">
      <w:pPr>
        <w:numPr>
          <w:ilvl w:val="1"/>
          <w:numId w:val="16"/>
        </w:numPr>
      </w:pPr>
      <w:r w:rsidRPr="00972130">
        <w:lastRenderedPageBreak/>
        <w:t>Broader member engagement in advocacy discussions</w:t>
      </w:r>
    </w:p>
    <w:p w14:paraId="0C374C07" w14:textId="77777777" w:rsidR="00972130" w:rsidRPr="00972130" w:rsidRDefault="00972130" w:rsidP="00972130">
      <w:pPr>
        <w:numPr>
          <w:ilvl w:val="1"/>
          <w:numId w:val="16"/>
        </w:numPr>
      </w:pPr>
      <w:r w:rsidRPr="00972130">
        <w:t>Rotating provider participation in high</w:t>
      </w:r>
      <w:r w:rsidRPr="00972130">
        <w:noBreakHyphen/>
        <w:t>level meetings</w:t>
      </w:r>
    </w:p>
    <w:p w14:paraId="406C6CCE" w14:textId="77777777" w:rsidR="00972130" w:rsidRPr="00972130" w:rsidRDefault="00972130" w:rsidP="00972130">
      <w:pPr>
        <w:numPr>
          <w:ilvl w:val="0"/>
          <w:numId w:val="16"/>
        </w:numPr>
      </w:pPr>
      <w:r w:rsidRPr="00972130">
        <w:t>Assess staffing and external support needs to support increased system</w:t>
      </w:r>
      <w:r w:rsidRPr="00972130">
        <w:noBreakHyphen/>
        <w:t>leadership demands.</w:t>
      </w:r>
    </w:p>
    <w:p w14:paraId="1A96E086" w14:textId="77777777" w:rsidR="00972130" w:rsidRPr="00972130" w:rsidRDefault="00972130" w:rsidP="00972130">
      <w:r w:rsidRPr="00972130">
        <w:rPr>
          <w:b/>
          <w:bCs/>
        </w:rPr>
        <w:t>Purpose</w:t>
      </w:r>
    </w:p>
    <w:p w14:paraId="2930254F" w14:textId="77777777" w:rsidR="00972130" w:rsidRPr="00972130" w:rsidRDefault="00972130" w:rsidP="00972130">
      <w:pPr>
        <w:numPr>
          <w:ilvl w:val="0"/>
          <w:numId w:val="17"/>
        </w:numPr>
      </w:pPr>
      <w:r w:rsidRPr="00972130">
        <w:t>Prevent leadership bottlenecks.</w:t>
      </w:r>
    </w:p>
    <w:p w14:paraId="37141D1E" w14:textId="77777777" w:rsidR="00972130" w:rsidRPr="00972130" w:rsidRDefault="00972130" w:rsidP="00972130">
      <w:pPr>
        <w:numPr>
          <w:ilvl w:val="0"/>
          <w:numId w:val="17"/>
        </w:numPr>
      </w:pPr>
      <w:r w:rsidRPr="00972130">
        <w:t>Ensure OPRA reflects member diversity and expertise.</w:t>
      </w:r>
    </w:p>
    <w:p w14:paraId="19ADE470" w14:textId="57E1174B" w:rsidR="00972130" w:rsidRPr="00972130" w:rsidRDefault="00972130" w:rsidP="00972130"/>
    <w:p w14:paraId="3F215CAD" w14:textId="77777777" w:rsidR="00972130" w:rsidRPr="00972130" w:rsidRDefault="00972130" w:rsidP="00972130">
      <w:pPr>
        <w:rPr>
          <w:b/>
          <w:bCs/>
        </w:rPr>
      </w:pPr>
      <w:r w:rsidRPr="00972130">
        <w:rPr>
          <w:b/>
          <w:bCs/>
        </w:rPr>
        <w:t>IV. Ongoing: Equip Providers and Broaden the Coalition</w:t>
      </w:r>
    </w:p>
    <w:p w14:paraId="7DED3754" w14:textId="77777777" w:rsidR="00972130" w:rsidRPr="00972130" w:rsidRDefault="00972130" w:rsidP="00972130">
      <w:pPr>
        <w:rPr>
          <w:b/>
          <w:bCs/>
        </w:rPr>
      </w:pPr>
      <w:r w:rsidRPr="00972130">
        <w:rPr>
          <w:b/>
          <w:bCs/>
        </w:rPr>
        <w:t>9. Empower Providers as System Advocates</w:t>
      </w:r>
    </w:p>
    <w:p w14:paraId="10709398" w14:textId="77777777" w:rsidR="00972130" w:rsidRPr="00972130" w:rsidRDefault="00972130" w:rsidP="00972130">
      <w:r w:rsidRPr="00972130">
        <w:rPr>
          <w:b/>
          <w:bCs/>
        </w:rPr>
        <w:t>Action</w:t>
      </w:r>
    </w:p>
    <w:p w14:paraId="49DAEE48" w14:textId="77777777" w:rsidR="00972130" w:rsidRPr="00972130" w:rsidRDefault="00972130" w:rsidP="00972130">
      <w:pPr>
        <w:numPr>
          <w:ilvl w:val="0"/>
          <w:numId w:val="18"/>
        </w:numPr>
      </w:pPr>
      <w:r w:rsidRPr="00972130">
        <w:t xml:space="preserve">Develop tools and guidance to help providers: </w:t>
      </w:r>
    </w:p>
    <w:p w14:paraId="6EF4259B" w14:textId="77777777" w:rsidR="00972130" w:rsidRPr="00972130" w:rsidRDefault="00972130" w:rsidP="00972130">
      <w:pPr>
        <w:numPr>
          <w:ilvl w:val="1"/>
          <w:numId w:val="18"/>
        </w:numPr>
      </w:pPr>
      <w:r w:rsidRPr="00972130">
        <w:t>Communicate effectively with policymakers and families</w:t>
      </w:r>
    </w:p>
    <w:p w14:paraId="2753A944" w14:textId="77777777" w:rsidR="00972130" w:rsidRPr="00972130" w:rsidRDefault="00972130" w:rsidP="00972130">
      <w:pPr>
        <w:numPr>
          <w:ilvl w:val="1"/>
          <w:numId w:val="18"/>
        </w:numPr>
      </w:pPr>
      <w:r w:rsidRPr="00972130">
        <w:t>Navigate difficult conversations at the local level</w:t>
      </w:r>
    </w:p>
    <w:p w14:paraId="4F915637" w14:textId="77777777" w:rsidR="00972130" w:rsidRPr="00972130" w:rsidRDefault="00972130" w:rsidP="00972130">
      <w:pPr>
        <w:numPr>
          <w:ilvl w:val="1"/>
          <w:numId w:val="18"/>
        </w:numPr>
      </w:pPr>
      <w:r w:rsidRPr="00972130">
        <w:t>Understand system change implications</w:t>
      </w:r>
    </w:p>
    <w:p w14:paraId="15A564E2" w14:textId="77777777" w:rsidR="00972130" w:rsidRPr="00972130" w:rsidRDefault="00972130" w:rsidP="00972130">
      <w:r w:rsidRPr="00972130">
        <w:rPr>
          <w:b/>
          <w:bCs/>
        </w:rPr>
        <w:t>Purpose</w:t>
      </w:r>
    </w:p>
    <w:p w14:paraId="051BF0F8" w14:textId="77777777" w:rsidR="00972130" w:rsidRPr="00972130" w:rsidRDefault="00972130" w:rsidP="00972130">
      <w:pPr>
        <w:numPr>
          <w:ilvl w:val="0"/>
          <w:numId w:val="19"/>
        </w:numPr>
      </w:pPr>
      <w:r w:rsidRPr="00972130">
        <w:t>Multiply OPRA’s influence through informed members.</w:t>
      </w:r>
    </w:p>
    <w:p w14:paraId="1BF81CC8" w14:textId="77777777" w:rsidR="00972130" w:rsidRPr="00972130" w:rsidRDefault="00972130" w:rsidP="00972130">
      <w:pPr>
        <w:numPr>
          <w:ilvl w:val="0"/>
          <w:numId w:val="19"/>
        </w:numPr>
      </w:pPr>
      <w:r w:rsidRPr="00972130">
        <w:t>Avoid over</w:t>
      </w:r>
      <w:r w:rsidRPr="00972130">
        <w:noBreakHyphen/>
        <w:t>centralization of advocacy.</w:t>
      </w:r>
    </w:p>
    <w:p w14:paraId="1874F176" w14:textId="41A9DE59" w:rsidR="00972130" w:rsidRPr="00972130" w:rsidRDefault="00972130" w:rsidP="00972130"/>
    <w:p w14:paraId="595FF64F" w14:textId="77777777" w:rsidR="00972130" w:rsidRPr="00972130" w:rsidRDefault="00972130" w:rsidP="00972130">
      <w:pPr>
        <w:rPr>
          <w:b/>
          <w:bCs/>
        </w:rPr>
      </w:pPr>
      <w:r w:rsidRPr="00972130">
        <w:rPr>
          <w:b/>
          <w:bCs/>
        </w:rPr>
        <w:t>10. Engage Families and Other Allies Thoughtfully</w:t>
      </w:r>
    </w:p>
    <w:p w14:paraId="5179289D" w14:textId="77777777" w:rsidR="00972130" w:rsidRPr="00972130" w:rsidRDefault="00972130" w:rsidP="00972130">
      <w:r w:rsidRPr="00972130">
        <w:rPr>
          <w:b/>
          <w:bCs/>
        </w:rPr>
        <w:t>Action</w:t>
      </w:r>
    </w:p>
    <w:p w14:paraId="3017E8CD" w14:textId="77777777" w:rsidR="00972130" w:rsidRPr="00972130" w:rsidRDefault="00972130" w:rsidP="00972130">
      <w:pPr>
        <w:numPr>
          <w:ilvl w:val="0"/>
          <w:numId w:val="20"/>
        </w:numPr>
      </w:pPr>
      <w:r w:rsidRPr="00972130">
        <w:t xml:space="preserve">Explore structured ways to: </w:t>
      </w:r>
    </w:p>
    <w:p w14:paraId="204ACB2E" w14:textId="77777777" w:rsidR="00972130" w:rsidRPr="00972130" w:rsidRDefault="00972130" w:rsidP="00972130">
      <w:pPr>
        <w:numPr>
          <w:ilvl w:val="1"/>
          <w:numId w:val="20"/>
        </w:numPr>
      </w:pPr>
      <w:r w:rsidRPr="00972130">
        <w:t>Educate families about system pressures and risks</w:t>
      </w:r>
    </w:p>
    <w:p w14:paraId="70615ADB" w14:textId="77777777" w:rsidR="00972130" w:rsidRPr="00972130" w:rsidRDefault="00972130" w:rsidP="00972130">
      <w:pPr>
        <w:numPr>
          <w:ilvl w:val="1"/>
          <w:numId w:val="20"/>
        </w:numPr>
      </w:pPr>
      <w:r w:rsidRPr="00972130">
        <w:t>Incorporate guardian and individual perspectives into solution design</w:t>
      </w:r>
    </w:p>
    <w:p w14:paraId="61E777C5" w14:textId="77777777" w:rsidR="00972130" w:rsidRPr="00972130" w:rsidRDefault="00972130" w:rsidP="00972130">
      <w:pPr>
        <w:numPr>
          <w:ilvl w:val="0"/>
          <w:numId w:val="20"/>
        </w:numPr>
      </w:pPr>
      <w:r w:rsidRPr="00972130">
        <w:t>Avoid fear</w:t>
      </w:r>
      <w:r w:rsidRPr="00972130">
        <w:noBreakHyphen/>
        <w:t>based messaging; emphasize continuity and quality.</w:t>
      </w:r>
    </w:p>
    <w:p w14:paraId="07EAB648" w14:textId="77777777" w:rsidR="00972130" w:rsidRPr="00972130" w:rsidRDefault="00972130" w:rsidP="00972130">
      <w:r w:rsidRPr="00972130">
        <w:rPr>
          <w:b/>
          <w:bCs/>
        </w:rPr>
        <w:t>Purpose</w:t>
      </w:r>
    </w:p>
    <w:p w14:paraId="525FA958" w14:textId="77777777" w:rsidR="00972130" w:rsidRPr="00972130" w:rsidRDefault="00972130" w:rsidP="00972130">
      <w:pPr>
        <w:numPr>
          <w:ilvl w:val="0"/>
          <w:numId w:val="21"/>
        </w:numPr>
      </w:pPr>
      <w:r w:rsidRPr="00972130">
        <w:lastRenderedPageBreak/>
        <w:t>Broaden credibility beyond providers.</w:t>
      </w:r>
    </w:p>
    <w:p w14:paraId="3AF06FDB" w14:textId="77777777" w:rsidR="00972130" w:rsidRPr="00972130" w:rsidRDefault="00972130" w:rsidP="00972130">
      <w:pPr>
        <w:numPr>
          <w:ilvl w:val="0"/>
          <w:numId w:val="21"/>
        </w:numPr>
      </w:pPr>
      <w:r w:rsidRPr="00972130">
        <w:t>Counter narratives that frame reform as provider</w:t>
      </w:r>
      <w:r w:rsidRPr="00972130">
        <w:noBreakHyphen/>
        <w:t>driven self</w:t>
      </w:r>
      <w:r w:rsidRPr="00972130">
        <w:noBreakHyphen/>
        <w:t>interest.</w:t>
      </w:r>
    </w:p>
    <w:p w14:paraId="35000B10" w14:textId="2093FD83" w:rsidR="00972130" w:rsidRPr="00972130" w:rsidRDefault="00972130" w:rsidP="00972130"/>
    <w:p w14:paraId="5DB52ADE" w14:textId="77777777" w:rsidR="00972130" w:rsidRPr="00972130" w:rsidRDefault="00972130" w:rsidP="00972130">
      <w:pPr>
        <w:rPr>
          <w:b/>
          <w:bCs/>
        </w:rPr>
      </w:pPr>
      <w:r w:rsidRPr="00972130">
        <w:rPr>
          <w:b/>
          <w:bCs/>
        </w:rPr>
        <w:t>Strategic Outcome</w:t>
      </w:r>
    </w:p>
    <w:p w14:paraId="0A3A807C" w14:textId="77777777" w:rsidR="00972130" w:rsidRPr="00972130" w:rsidRDefault="00972130" w:rsidP="00972130">
      <w:r w:rsidRPr="00972130">
        <w:t>If executed effectively, these next steps position OPRA to:</w:t>
      </w:r>
    </w:p>
    <w:p w14:paraId="015FD5DD" w14:textId="77777777" w:rsidR="00972130" w:rsidRPr="00972130" w:rsidRDefault="00972130" w:rsidP="00972130">
      <w:pPr>
        <w:numPr>
          <w:ilvl w:val="0"/>
          <w:numId w:val="22"/>
        </w:numPr>
      </w:pPr>
      <w:r w:rsidRPr="00972130">
        <w:t>Lead system definition rather than react to imposed change</w:t>
      </w:r>
    </w:p>
    <w:p w14:paraId="549C3755" w14:textId="77777777" w:rsidR="00972130" w:rsidRPr="00972130" w:rsidRDefault="00972130" w:rsidP="00972130">
      <w:pPr>
        <w:numPr>
          <w:ilvl w:val="0"/>
          <w:numId w:val="22"/>
        </w:numPr>
      </w:pPr>
      <w:r w:rsidRPr="00972130">
        <w:t>Reduce volatility and restore predictability for providers and the workforce</w:t>
      </w:r>
    </w:p>
    <w:p w14:paraId="08038CA1" w14:textId="77777777" w:rsidR="00972130" w:rsidRPr="00972130" w:rsidRDefault="00972130" w:rsidP="00972130">
      <w:pPr>
        <w:numPr>
          <w:ilvl w:val="0"/>
          <w:numId w:val="22"/>
        </w:numPr>
      </w:pPr>
      <w:r w:rsidRPr="00972130">
        <w:t>Improve trust through transparency, consistency, and shared accountability</w:t>
      </w:r>
    </w:p>
    <w:p w14:paraId="0B36A5C7" w14:textId="77777777" w:rsidR="00972130" w:rsidRPr="00972130" w:rsidRDefault="00972130" w:rsidP="00972130">
      <w:pPr>
        <w:numPr>
          <w:ilvl w:val="0"/>
          <w:numId w:val="22"/>
        </w:numPr>
      </w:pPr>
      <w:r w:rsidRPr="00972130">
        <w:t>Influence structural reform from a position of expertise and preparedness</w:t>
      </w:r>
    </w:p>
    <w:p w14:paraId="6D5A0F69" w14:textId="77777777" w:rsidR="00972130" w:rsidRDefault="00972130"/>
    <w:sectPr w:rsidR="00972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DF8"/>
    <w:multiLevelType w:val="multilevel"/>
    <w:tmpl w:val="79E8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386C"/>
    <w:multiLevelType w:val="multilevel"/>
    <w:tmpl w:val="78F4C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11EB4"/>
    <w:multiLevelType w:val="multilevel"/>
    <w:tmpl w:val="3C7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84C9D"/>
    <w:multiLevelType w:val="multilevel"/>
    <w:tmpl w:val="D33E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F0AB3"/>
    <w:multiLevelType w:val="multilevel"/>
    <w:tmpl w:val="5D82B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A4603"/>
    <w:multiLevelType w:val="multilevel"/>
    <w:tmpl w:val="267A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951D0"/>
    <w:multiLevelType w:val="multilevel"/>
    <w:tmpl w:val="A880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27F5E"/>
    <w:multiLevelType w:val="multilevel"/>
    <w:tmpl w:val="30FC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616F4"/>
    <w:multiLevelType w:val="multilevel"/>
    <w:tmpl w:val="7B2CC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12AC2"/>
    <w:multiLevelType w:val="multilevel"/>
    <w:tmpl w:val="27A4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54174"/>
    <w:multiLevelType w:val="multilevel"/>
    <w:tmpl w:val="9C2C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D7EEF"/>
    <w:multiLevelType w:val="multilevel"/>
    <w:tmpl w:val="BDF02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C3936"/>
    <w:multiLevelType w:val="multilevel"/>
    <w:tmpl w:val="1BF4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12613"/>
    <w:multiLevelType w:val="multilevel"/>
    <w:tmpl w:val="B7C0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0D1AD0"/>
    <w:multiLevelType w:val="multilevel"/>
    <w:tmpl w:val="CB48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41B4E"/>
    <w:multiLevelType w:val="multilevel"/>
    <w:tmpl w:val="68529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22940"/>
    <w:multiLevelType w:val="multilevel"/>
    <w:tmpl w:val="6B78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42B2D"/>
    <w:multiLevelType w:val="multilevel"/>
    <w:tmpl w:val="2B6C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54455"/>
    <w:multiLevelType w:val="multilevel"/>
    <w:tmpl w:val="5E984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A1E6D"/>
    <w:multiLevelType w:val="multilevel"/>
    <w:tmpl w:val="E238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E55DA"/>
    <w:multiLevelType w:val="multilevel"/>
    <w:tmpl w:val="87B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070B4"/>
    <w:multiLevelType w:val="multilevel"/>
    <w:tmpl w:val="CFBE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752677">
    <w:abstractNumId w:val="12"/>
  </w:num>
  <w:num w:numId="2" w16cid:durableId="491915790">
    <w:abstractNumId w:val="19"/>
  </w:num>
  <w:num w:numId="3" w16cid:durableId="1472863049">
    <w:abstractNumId w:val="16"/>
  </w:num>
  <w:num w:numId="4" w16cid:durableId="1327130388">
    <w:abstractNumId w:val="21"/>
  </w:num>
  <w:num w:numId="5" w16cid:durableId="594677328">
    <w:abstractNumId w:val="7"/>
  </w:num>
  <w:num w:numId="6" w16cid:durableId="610016474">
    <w:abstractNumId w:val="8"/>
  </w:num>
  <w:num w:numId="7" w16cid:durableId="1002707968">
    <w:abstractNumId w:val="0"/>
  </w:num>
  <w:num w:numId="8" w16cid:durableId="301622712">
    <w:abstractNumId w:val="11"/>
  </w:num>
  <w:num w:numId="9" w16cid:durableId="1828015052">
    <w:abstractNumId w:val="3"/>
  </w:num>
  <w:num w:numId="10" w16cid:durableId="737559773">
    <w:abstractNumId w:val="4"/>
  </w:num>
  <w:num w:numId="11" w16cid:durableId="335228744">
    <w:abstractNumId w:val="2"/>
  </w:num>
  <w:num w:numId="12" w16cid:durableId="1057971482">
    <w:abstractNumId w:val="1"/>
  </w:num>
  <w:num w:numId="13" w16cid:durableId="373315905">
    <w:abstractNumId w:val="20"/>
  </w:num>
  <w:num w:numId="14" w16cid:durableId="899708040">
    <w:abstractNumId w:val="10"/>
  </w:num>
  <w:num w:numId="15" w16cid:durableId="482357723">
    <w:abstractNumId w:val="14"/>
  </w:num>
  <w:num w:numId="16" w16cid:durableId="1736514048">
    <w:abstractNumId w:val="15"/>
  </w:num>
  <w:num w:numId="17" w16cid:durableId="1029794061">
    <w:abstractNumId w:val="6"/>
  </w:num>
  <w:num w:numId="18" w16cid:durableId="1286152729">
    <w:abstractNumId w:val="18"/>
  </w:num>
  <w:num w:numId="19" w16cid:durableId="2125419564">
    <w:abstractNumId w:val="9"/>
  </w:num>
  <w:num w:numId="20" w16cid:durableId="244191639">
    <w:abstractNumId w:val="13"/>
  </w:num>
  <w:num w:numId="21" w16cid:durableId="1666008497">
    <w:abstractNumId w:val="5"/>
  </w:num>
  <w:num w:numId="22" w16cid:durableId="1301308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30"/>
    <w:rsid w:val="00016568"/>
    <w:rsid w:val="000A1340"/>
    <w:rsid w:val="00187479"/>
    <w:rsid w:val="00390A62"/>
    <w:rsid w:val="003C136B"/>
    <w:rsid w:val="00421431"/>
    <w:rsid w:val="004571F1"/>
    <w:rsid w:val="004A0C88"/>
    <w:rsid w:val="005F0045"/>
    <w:rsid w:val="0073466D"/>
    <w:rsid w:val="007D7141"/>
    <w:rsid w:val="00891475"/>
    <w:rsid w:val="008E5701"/>
    <w:rsid w:val="00966550"/>
    <w:rsid w:val="00972130"/>
    <w:rsid w:val="00A61EB3"/>
    <w:rsid w:val="00A90212"/>
    <w:rsid w:val="00A91DDD"/>
    <w:rsid w:val="00AB1EFD"/>
    <w:rsid w:val="00AC4007"/>
    <w:rsid w:val="00B729FC"/>
    <w:rsid w:val="00E063E5"/>
    <w:rsid w:val="00EC06BF"/>
    <w:rsid w:val="00F01113"/>
    <w:rsid w:val="00F23CE5"/>
    <w:rsid w:val="00F466EB"/>
    <w:rsid w:val="00F4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BEB1"/>
  <w15:chartTrackingRefBased/>
  <w15:docId w15:val="{40FBF841-FAC1-4A76-9F1D-0982FE39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130"/>
    <w:rPr>
      <w:rFonts w:eastAsiaTheme="majorEastAsia" w:cstheme="majorBidi"/>
      <w:color w:val="272727" w:themeColor="text1" w:themeTint="D8"/>
    </w:rPr>
  </w:style>
  <w:style w:type="paragraph" w:styleId="Title">
    <w:name w:val="Title"/>
    <w:basedOn w:val="Normal"/>
    <w:next w:val="Normal"/>
    <w:link w:val="TitleChar"/>
    <w:uiPriority w:val="10"/>
    <w:qFormat/>
    <w:rsid w:val="00972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130"/>
    <w:pPr>
      <w:spacing w:before="160"/>
      <w:jc w:val="center"/>
    </w:pPr>
    <w:rPr>
      <w:i/>
      <w:iCs/>
      <w:color w:val="404040" w:themeColor="text1" w:themeTint="BF"/>
    </w:rPr>
  </w:style>
  <w:style w:type="character" w:customStyle="1" w:styleId="QuoteChar">
    <w:name w:val="Quote Char"/>
    <w:basedOn w:val="DefaultParagraphFont"/>
    <w:link w:val="Quote"/>
    <w:uiPriority w:val="29"/>
    <w:rsid w:val="00972130"/>
    <w:rPr>
      <w:i/>
      <w:iCs/>
      <w:color w:val="404040" w:themeColor="text1" w:themeTint="BF"/>
    </w:rPr>
  </w:style>
  <w:style w:type="paragraph" w:styleId="ListParagraph">
    <w:name w:val="List Paragraph"/>
    <w:basedOn w:val="Normal"/>
    <w:uiPriority w:val="34"/>
    <w:qFormat/>
    <w:rsid w:val="00972130"/>
    <w:pPr>
      <w:ind w:left="720"/>
      <w:contextualSpacing/>
    </w:pPr>
  </w:style>
  <w:style w:type="character" w:styleId="IntenseEmphasis">
    <w:name w:val="Intense Emphasis"/>
    <w:basedOn w:val="DefaultParagraphFont"/>
    <w:uiPriority w:val="21"/>
    <w:qFormat/>
    <w:rsid w:val="00972130"/>
    <w:rPr>
      <w:i/>
      <w:iCs/>
      <w:color w:val="0F4761" w:themeColor="accent1" w:themeShade="BF"/>
    </w:rPr>
  </w:style>
  <w:style w:type="paragraph" w:styleId="IntenseQuote">
    <w:name w:val="Intense Quote"/>
    <w:basedOn w:val="Normal"/>
    <w:next w:val="Normal"/>
    <w:link w:val="IntenseQuoteChar"/>
    <w:uiPriority w:val="30"/>
    <w:qFormat/>
    <w:rsid w:val="00972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130"/>
    <w:rPr>
      <w:i/>
      <w:iCs/>
      <w:color w:val="0F4761" w:themeColor="accent1" w:themeShade="BF"/>
    </w:rPr>
  </w:style>
  <w:style w:type="character" w:styleId="IntenseReference">
    <w:name w:val="Intense Reference"/>
    <w:basedOn w:val="DefaultParagraphFont"/>
    <w:uiPriority w:val="32"/>
    <w:qFormat/>
    <w:rsid w:val="00972130"/>
    <w:rPr>
      <w:b/>
      <w:bCs/>
      <w:smallCaps/>
      <w:color w:val="0F4761" w:themeColor="accent1" w:themeShade="BF"/>
      <w:spacing w:val="5"/>
    </w:rPr>
  </w:style>
  <w:style w:type="character" w:styleId="CommentReference">
    <w:name w:val="annotation reference"/>
    <w:basedOn w:val="DefaultParagraphFont"/>
    <w:uiPriority w:val="99"/>
    <w:semiHidden/>
    <w:unhideWhenUsed/>
    <w:rsid w:val="00A61EB3"/>
    <w:rPr>
      <w:sz w:val="16"/>
      <w:szCs w:val="16"/>
    </w:rPr>
  </w:style>
  <w:style w:type="paragraph" w:styleId="CommentText">
    <w:name w:val="annotation text"/>
    <w:basedOn w:val="Normal"/>
    <w:link w:val="CommentTextChar"/>
    <w:uiPriority w:val="99"/>
    <w:unhideWhenUsed/>
    <w:rsid w:val="00A61EB3"/>
    <w:pPr>
      <w:spacing w:line="240" w:lineRule="auto"/>
    </w:pPr>
    <w:rPr>
      <w:sz w:val="20"/>
      <w:szCs w:val="20"/>
    </w:rPr>
  </w:style>
  <w:style w:type="character" w:customStyle="1" w:styleId="CommentTextChar">
    <w:name w:val="Comment Text Char"/>
    <w:basedOn w:val="DefaultParagraphFont"/>
    <w:link w:val="CommentText"/>
    <w:uiPriority w:val="99"/>
    <w:rsid w:val="00A61EB3"/>
    <w:rPr>
      <w:sz w:val="20"/>
      <w:szCs w:val="20"/>
    </w:rPr>
  </w:style>
  <w:style w:type="paragraph" w:styleId="CommentSubject">
    <w:name w:val="annotation subject"/>
    <w:basedOn w:val="CommentText"/>
    <w:next w:val="CommentText"/>
    <w:link w:val="CommentSubjectChar"/>
    <w:uiPriority w:val="99"/>
    <w:semiHidden/>
    <w:unhideWhenUsed/>
    <w:rsid w:val="00A61EB3"/>
    <w:rPr>
      <w:b/>
      <w:bCs/>
    </w:rPr>
  </w:style>
  <w:style w:type="character" w:customStyle="1" w:styleId="CommentSubjectChar">
    <w:name w:val="Comment Subject Char"/>
    <w:basedOn w:val="CommentTextChar"/>
    <w:link w:val="CommentSubject"/>
    <w:uiPriority w:val="99"/>
    <w:semiHidden/>
    <w:rsid w:val="00A61EB3"/>
    <w:rPr>
      <w:b/>
      <w:bCs/>
      <w:sz w:val="20"/>
      <w:szCs w:val="20"/>
    </w:rPr>
  </w:style>
  <w:style w:type="paragraph" w:styleId="Revision">
    <w:name w:val="Revision"/>
    <w:hidden/>
    <w:uiPriority w:val="99"/>
    <w:semiHidden/>
    <w:rsid w:val="00A61E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2035</Words>
  <Characters>11193</Characters>
  <Application>Microsoft Office Word</Application>
  <DocSecurity>0</DocSecurity>
  <Lines>260</Lines>
  <Paragraphs>281</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Hutzel, Margaret</dc:creator>
  <cp:keywords/>
  <dc:description/>
  <cp:lastModifiedBy>Peter Moore</cp:lastModifiedBy>
  <cp:revision>2</cp:revision>
  <dcterms:created xsi:type="dcterms:W3CDTF">2026-05-04T18:21:00Z</dcterms:created>
  <dcterms:modified xsi:type="dcterms:W3CDTF">2026-05-04T18:21:00Z</dcterms:modified>
</cp:coreProperties>
</file>