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17" w:rsidRDefault="00F66C17" w:rsidP="00EF2258">
      <w:pPr>
        <w:pStyle w:val="Heading2"/>
        <w:rPr>
          <w:rFonts w:ascii="Courier New" w:hAnsi="Courier New" w:cs="Courier New"/>
          <w:b/>
          <w:color w:val="auto"/>
          <w:sz w:val="22"/>
          <w:szCs w:val="22"/>
        </w:rPr>
      </w:pPr>
      <w:r>
        <w:rPr>
          <w:rFonts w:ascii="Courier New" w:hAnsi="Courier New" w:cs="Courier New"/>
          <w:b/>
          <w:color w:val="auto"/>
          <w:sz w:val="22"/>
          <w:szCs w:val="22"/>
        </w:rPr>
        <w:t>HB 483 – IAF/Exception Review Amendment</w:t>
      </w:r>
    </w:p>
    <w:p w:rsidR="00F66C17" w:rsidRPr="00F66C17" w:rsidRDefault="00F66C17" w:rsidP="00F66C17"/>
    <w:p w:rsidR="00F66C17" w:rsidRDefault="00F66C17" w:rsidP="00EF2258">
      <w:pPr>
        <w:pStyle w:val="Heading2"/>
        <w:rPr>
          <w:rFonts w:ascii="Courier New" w:hAnsi="Courier New" w:cs="Courier New"/>
          <w:color w:val="auto"/>
          <w:sz w:val="22"/>
          <w:szCs w:val="22"/>
        </w:rPr>
      </w:pPr>
    </w:p>
    <w:p w:rsidR="00F66C17" w:rsidRPr="00EF2258" w:rsidRDefault="00EF2258" w:rsidP="00F66C17">
      <w:pPr>
        <w:pStyle w:val="NormalWeb"/>
        <w:rPr>
          <w:rFonts w:ascii="Courier New" w:hAnsi="Courier New" w:cs="Courier New"/>
          <w:sz w:val="22"/>
          <w:szCs w:val="22"/>
          <w:u w:val="single"/>
        </w:rPr>
      </w:pPr>
      <w:r w:rsidRPr="001142F6">
        <w:rPr>
          <w:rFonts w:ascii="Courier New" w:hAnsi="Courier New" w:cs="Courier New"/>
          <w:b/>
          <w:sz w:val="22"/>
          <w:szCs w:val="22"/>
        </w:rPr>
        <w:t xml:space="preserve">Sec. </w:t>
      </w:r>
      <w:r w:rsidR="00F60944" w:rsidRPr="001142F6">
        <w:rPr>
          <w:rFonts w:ascii="Courier New" w:hAnsi="Courier New" w:cs="Courier New"/>
          <w:b/>
          <w:sz w:val="22"/>
          <w:szCs w:val="22"/>
        </w:rPr>
        <w:t>5124.191.</w:t>
      </w:r>
      <w:r>
        <w:rPr>
          <w:rFonts w:ascii="Courier New" w:hAnsi="Courier New" w:cs="Courier New"/>
          <w:sz w:val="22"/>
          <w:szCs w:val="22"/>
        </w:rPr>
        <w:t xml:space="preserve"> </w:t>
      </w:r>
      <w:r w:rsidR="00F60944" w:rsidRPr="00EF2258">
        <w:rPr>
          <w:rFonts w:ascii="Courier New" w:hAnsi="Courier New" w:cs="Courier New"/>
          <w:sz w:val="22"/>
          <w:szCs w:val="22"/>
        </w:rPr>
        <w:t>Each calendar quarter, each ICF/IID provider shall compile complete assessment data for each resident of each of the provider's ICFs/IID, regardless of payment source, who is in the ICF/IID, or on hospital or therapeutic leave from the ICF/IID, on the last day of the quarter. A resident assessment instrument specified in rules adopted under section 5124.03 of the Revised Code shall be used to compile the resident assessment data. Each provider shall submit the resident assessment data to the department of developmental disabilities not later than fifteen days after the end of the calendar quarter for which the data is compiled. The resident assessment data shall be submitted to the department through the medium or media specified in rules adopted under section 5124.03 of the Revised Code.</w:t>
      </w:r>
      <w:r w:rsidR="00F66C17">
        <w:rPr>
          <w:rFonts w:ascii="Courier New" w:hAnsi="Courier New" w:cs="Courier New"/>
          <w:sz w:val="22"/>
          <w:szCs w:val="22"/>
        </w:rPr>
        <w:t xml:space="preserve"> </w:t>
      </w:r>
      <w:r w:rsidR="00F66C17">
        <w:rPr>
          <w:rFonts w:ascii="Courier New" w:hAnsi="Courier New" w:cs="Courier New"/>
          <w:sz w:val="22"/>
          <w:szCs w:val="22"/>
          <w:u w:val="single"/>
        </w:rPr>
        <w:t>T</w:t>
      </w:r>
      <w:r w:rsidR="00F66C17" w:rsidRPr="00EF2258">
        <w:rPr>
          <w:rFonts w:ascii="Courier New" w:hAnsi="Courier New" w:cs="Courier New"/>
          <w:sz w:val="22"/>
          <w:szCs w:val="22"/>
          <w:u w:val="single"/>
        </w:rPr>
        <w:t xml:space="preserve">he department shall not change instructions </w:t>
      </w:r>
      <w:r w:rsidR="007204FC" w:rsidRPr="007204FC">
        <w:rPr>
          <w:rFonts w:ascii="Courier New" w:hAnsi="Courier New" w:cs="Courier New"/>
          <w:sz w:val="22"/>
          <w:szCs w:val="22"/>
          <w:highlight w:val="yellow"/>
          <w:u w:val="single"/>
        </w:rPr>
        <w:t>or guidelines</w:t>
      </w:r>
      <w:r w:rsidR="007204FC">
        <w:rPr>
          <w:rFonts w:ascii="Courier New" w:hAnsi="Courier New" w:cs="Courier New"/>
          <w:sz w:val="22"/>
          <w:szCs w:val="22"/>
          <w:u w:val="single"/>
        </w:rPr>
        <w:t xml:space="preserve"> </w:t>
      </w:r>
      <w:r w:rsidR="00F66C17" w:rsidRPr="00EF2258">
        <w:rPr>
          <w:rFonts w:ascii="Courier New" w:hAnsi="Courier New" w:cs="Courier New"/>
          <w:sz w:val="22"/>
          <w:szCs w:val="22"/>
          <w:u w:val="single"/>
        </w:rPr>
        <w:t xml:space="preserve">for completing the assessment </w:t>
      </w:r>
      <w:r w:rsidR="001142F6">
        <w:rPr>
          <w:rFonts w:ascii="Courier New" w:hAnsi="Courier New" w:cs="Courier New"/>
          <w:sz w:val="22"/>
          <w:szCs w:val="22"/>
          <w:u w:val="single"/>
        </w:rPr>
        <w:t>instrument</w:t>
      </w:r>
      <w:r w:rsidR="00F66C17" w:rsidRPr="00EF2258">
        <w:rPr>
          <w:rFonts w:ascii="Courier New" w:hAnsi="Courier New" w:cs="Courier New"/>
          <w:sz w:val="22"/>
          <w:szCs w:val="22"/>
          <w:u w:val="single"/>
        </w:rPr>
        <w:t xml:space="preserve"> without doing all of the following:</w:t>
      </w:r>
    </w:p>
    <w:p w:rsidR="007204FC" w:rsidRPr="007204FC" w:rsidRDefault="007204FC" w:rsidP="007204FC">
      <w:pPr>
        <w:pStyle w:val="NormalWeb"/>
        <w:rPr>
          <w:rFonts w:ascii="Courier New" w:hAnsi="Courier New" w:cs="Courier New"/>
          <w:sz w:val="22"/>
          <w:szCs w:val="22"/>
          <w:u w:val="single"/>
        </w:rPr>
      </w:pPr>
      <w:r w:rsidRPr="007204FC">
        <w:rPr>
          <w:rFonts w:ascii="Courier New" w:hAnsi="Courier New" w:cs="Courier New"/>
          <w:highlight w:val="yellow"/>
          <w:u w:val="single"/>
        </w:rPr>
        <w:t>(a) Determining that the change is not inconsistent with the documentation of ICF/IID staff time that was used to create the grouper methodology;</w:t>
      </w:r>
      <w:r w:rsidRPr="007204FC">
        <w:rPr>
          <w:rFonts w:ascii="Courier New" w:hAnsi="Courier New" w:cs="Courier New"/>
          <w:sz w:val="22"/>
          <w:szCs w:val="22"/>
          <w:u w:val="single"/>
        </w:rPr>
        <w:t xml:space="preserve"> </w:t>
      </w:r>
    </w:p>
    <w:p w:rsidR="00F66C17" w:rsidRPr="00EF2258" w:rsidRDefault="00F66C17" w:rsidP="007204FC">
      <w:pPr>
        <w:pStyle w:val="NormalWeb"/>
        <w:rPr>
          <w:rFonts w:ascii="Courier New" w:hAnsi="Courier New" w:cs="Courier New"/>
          <w:sz w:val="22"/>
          <w:szCs w:val="22"/>
          <w:u w:val="single"/>
        </w:rPr>
      </w:pPr>
      <w:r w:rsidRPr="00EF2258">
        <w:rPr>
          <w:rFonts w:ascii="Courier New" w:hAnsi="Courier New" w:cs="Courier New"/>
          <w:sz w:val="22"/>
          <w:szCs w:val="22"/>
          <w:u w:val="single"/>
        </w:rPr>
        <w:t>(b) Obtaining input on the change from ICF/IID representatives;</w:t>
      </w:r>
    </w:p>
    <w:p w:rsidR="00F66C17" w:rsidRPr="00EF2258" w:rsidRDefault="00F66C17" w:rsidP="00F66C17">
      <w:pPr>
        <w:pStyle w:val="NormalWeb"/>
        <w:rPr>
          <w:rFonts w:ascii="Courier New" w:hAnsi="Courier New" w:cs="Courier New"/>
          <w:sz w:val="22"/>
          <w:szCs w:val="22"/>
          <w:u w:val="single"/>
        </w:rPr>
      </w:pPr>
      <w:r w:rsidRPr="00EF2258">
        <w:rPr>
          <w:rFonts w:ascii="Courier New" w:hAnsi="Courier New" w:cs="Courier New"/>
          <w:sz w:val="22"/>
          <w:szCs w:val="22"/>
          <w:u w:val="single"/>
        </w:rPr>
        <w:t>(c) Notifying all ICFs/IID of the change;</w:t>
      </w:r>
    </w:p>
    <w:p w:rsidR="00F60944" w:rsidRPr="00EF2258" w:rsidRDefault="00F66C17" w:rsidP="00F66C17">
      <w:pPr>
        <w:pStyle w:val="Heading2"/>
        <w:rPr>
          <w:rFonts w:ascii="Courier New" w:hAnsi="Courier New" w:cs="Courier New"/>
          <w:color w:val="auto"/>
          <w:sz w:val="22"/>
          <w:szCs w:val="22"/>
        </w:rPr>
      </w:pPr>
      <w:r w:rsidRPr="00EF2258">
        <w:rPr>
          <w:rFonts w:ascii="Courier New" w:hAnsi="Courier New" w:cs="Courier New"/>
          <w:color w:val="auto"/>
          <w:sz w:val="22"/>
          <w:szCs w:val="22"/>
          <w:u w:val="single"/>
        </w:rPr>
        <w:t>(d) Applying the change prospectively.</w:t>
      </w:r>
    </w:p>
    <w:p w:rsidR="00EF2258" w:rsidRDefault="00EF2258" w:rsidP="00580080">
      <w:pPr>
        <w:pStyle w:val="Heading2"/>
        <w:rPr>
          <w:rFonts w:ascii="Courier New" w:hAnsi="Courier New" w:cs="Courier New"/>
          <w:color w:val="auto"/>
          <w:sz w:val="22"/>
          <w:szCs w:val="22"/>
        </w:rPr>
      </w:pPr>
    </w:p>
    <w:p w:rsidR="00580080" w:rsidRPr="00EF2258" w:rsidRDefault="00F60944" w:rsidP="00EF2258">
      <w:pPr>
        <w:pStyle w:val="Heading2"/>
        <w:rPr>
          <w:rFonts w:ascii="Courier New" w:hAnsi="Courier New" w:cs="Courier New"/>
          <w:color w:val="auto"/>
          <w:sz w:val="22"/>
          <w:szCs w:val="22"/>
        </w:rPr>
      </w:pPr>
      <w:r w:rsidRPr="001142F6">
        <w:rPr>
          <w:rFonts w:ascii="Courier New" w:hAnsi="Courier New" w:cs="Courier New"/>
          <w:b/>
          <w:color w:val="auto"/>
          <w:sz w:val="22"/>
          <w:szCs w:val="22"/>
        </w:rPr>
        <w:t>Sec. 5124.192</w:t>
      </w:r>
      <w:r w:rsidR="00580080" w:rsidRPr="001142F6">
        <w:rPr>
          <w:rFonts w:ascii="Courier New" w:hAnsi="Courier New" w:cs="Courier New"/>
          <w:b/>
          <w:color w:val="auto"/>
          <w:sz w:val="22"/>
          <w:szCs w:val="22"/>
        </w:rPr>
        <w:t>.</w:t>
      </w:r>
      <w:r w:rsidR="00EF2258">
        <w:rPr>
          <w:rFonts w:ascii="Courier New" w:hAnsi="Courier New" w:cs="Courier New"/>
          <w:color w:val="auto"/>
          <w:sz w:val="22"/>
          <w:szCs w:val="22"/>
        </w:rPr>
        <w:t xml:space="preserve"> </w:t>
      </w:r>
      <w:bookmarkStart w:id="0" w:name="5124.192(A)"/>
      <w:r w:rsidR="00580080" w:rsidRPr="00EF2258">
        <w:rPr>
          <w:rFonts w:ascii="Courier New" w:hAnsi="Courier New" w:cs="Courier New"/>
          <w:color w:val="auto"/>
          <w:sz w:val="22"/>
          <w:szCs w:val="22"/>
        </w:rPr>
        <w:t>(A)</w:t>
      </w:r>
      <w:bookmarkEnd w:id="0"/>
      <w:r w:rsidR="00580080" w:rsidRPr="00EF2258">
        <w:rPr>
          <w:rFonts w:ascii="Courier New" w:hAnsi="Courier New" w:cs="Courier New"/>
          <w:color w:val="auto"/>
          <w:sz w:val="22"/>
          <w:szCs w:val="22"/>
        </w:rPr>
        <w:t xml:space="preserve"> Except as provided in division (B) of this section, the department of developmental disabilities shall do both of the following: </w:t>
      </w:r>
    </w:p>
    <w:p w:rsidR="00580080" w:rsidRPr="00EF2258" w:rsidRDefault="00580080" w:rsidP="00580080">
      <w:pPr>
        <w:pStyle w:val="NormalWeb"/>
        <w:rPr>
          <w:rFonts w:ascii="Courier New" w:hAnsi="Courier New" w:cs="Courier New"/>
          <w:sz w:val="22"/>
          <w:szCs w:val="22"/>
        </w:rPr>
      </w:pPr>
      <w:bookmarkStart w:id="1" w:name="5124.192(A)(1)"/>
      <w:r w:rsidRPr="00EF2258">
        <w:rPr>
          <w:rFonts w:ascii="Courier New" w:hAnsi="Courier New" w:cs="Courier New"/>
          <w:sz w:val="22"/>
          <w:szCs w:val="22"/>
        </w:rPr>
        <w:t>(1)</w:t>
      </w:r>
      <w:bookmarkEnd w:id="1"/>
      <w:r w:rsidRPr="00EF2258">
        <w:rPr>
          <w:rFonts w:ascii="Courier New" w:hAnsi="Courier New" w:cs="Courier New"/>
          <w:sz w:val="22"/>
          <w:szCs w:val="22"/>
        </w:rPr>
        <w:t xml:space="preserve"> For each calendar quarter, determine a case-mix score for each ICF/IID using the resident assessment data submitted to the department under section 5124.191 of the Revised Code and the grouper methodology prescribed in rules authorized by this section; </w:t>
      </w:r>
    </w:p>
    <w:p w:rsidR="00580080" w:rsidRPr="00EF2258" w:rsidRDefault="00580080" w:rsidP="00580080">
      <w:pPr>
        <w:pStyle w:val="NormalWeb"/>
        <w:rPr>
          <w:rFonts w:ascii="Courier New" w:hAnsi="Courier New" w:cs="Courier New"/>
          <w:sz w:val="22"/>
          <w:szCs w:val="22"/>
        </w:rPr>
      </w:pPr>
      <w:bookmarkStart w:id="2" w:name="5124.192(A)(2)"/>
      <w:r w:rsidRPr="00EF2258">
        <w:rPr>
          <w:rFonts w:ascii="Courier New" w:hAnsi="Courier New" w:cs="Courier New"/>
          <w:sz w:val="22"/>
          <w:szCs w:val="22"/>
        </w:rPr>
        <w:t>(2)</w:t>
      </w:r>
      <w:bookmarkEnd w:id="2"/>
      <w:r w:rsidRPr="00EF2258">
        <w:rPr>
          <w:rFonts w:ascii="Courier New" w:hAnsi="Courier New" w:cs="Courier New"/>
          <w:sz w:val="22"/>
          <w:szCs w:val="22"/>
        </w:rPr>
        <w:t xml:space="preserve"> After the end of each calendar year and in accordance with rules authorized by this section, determine an annual average case-mix score for each ICF/IID using the ICF/IID's quarterly case-mix scores for that calendar year. </w:t>
      </w:r>
    </w:p>
    <w:p w:rsidR="00580080" w:rsidRPr="00EF2258" w:rsidRDefault="00580080" w:rsidP="00580080">
      <w:pPr>
        <w:pStyle w:val="NormalWeb"/>
        <w:rPr>
          <w:rFonts w:ascii="Courier New" w:hAnsi="Courier New" w:cs="Courier New"/>
          <w:sz w:val="22"/>
          <w:szCs w:val="22"/>
        </w:rPr>
      </w:pPr>
      <w:bookmarkStart w:id="3" w:name="5124.192(B)"/>
      <w:r w:rsidRPr="00EF2258">
        <w:rPr>
          <w:rFonts w:ascii="Courier New" w:hAnsi="Courier New" w:cs="Courier New"/>
          <w:sz w:val="22"/>
          <w:szCs w:val="22"/>
        </w:rPr>
        <w:t>(B)</w:t>
      </w:r>
      <w:bookmarkStart w:id="4" w:name="5124.192(B)(1)"/>
      <w:bookmarkEnd w:id="3"/>
      <w:r w:rsidRPr="00EF2258">
        <w:rPr>
          <w:rFonts w:ascii="Courier New" w:hAnsi="Courier New" w:cs="Courier New"/>
          <w:sz w:val="22"/>
          <w:szCs w:val="22"/>
        </w:rPr>
        <w:t>(1)</w:t>
      </w:r>
      <w:bookmarkEnd w:id="4"/>
      <w:r w:rsidRPr="00EF2258">
        <w:rPr>
          <w:rFonts w:ascii="Courier New" w:hAnsi="Courier New" w:cs="Courier New"/>
          <w:sz w:val="22"/>
          <w:szCs w:val="22"/>
        </w:rPr>
        <w:t xml:space="preserve"> Subject to division (B)(2) of this section, the department, for one or more months of a calendar quarter, may assign to an ICF/IID a case-mix score that is five per cent less than the ICF/IID's case-mix score for the immediately preceding calendar quarter if any of the following apply: </w:t>
      </w:r>
    </w:p>
    <w:p w:rsidR="00580080" w:rsidRPr="00EF2258" w:rsidRDefault="00580080" w:rsidP="00580080">
      <w:pPr>
        <w:pStyle w:val="NormalWeb"/>
        <w:rPr>
          <w:rFonts w:ascii="Courier New" w:hAnsi="Courier New" w:cs="Courier New"/>
          <w:sz w:val="22"/>
          <w:szCs w:val="22"/>
        </w:rPr>
      </w:pPr>
      <w:bookmarkStart w:id="5" w:name="5124.192(B)(1)(a)"/>
      <w:r w:rsidRPr="00EF2258">
        <w:rPr>
          <w:rFonts w:ascii="Courier New" w:hAnsi="Courier New" w:cs="Courier New"/>
          <w:sz w:val="22"/>
          <w:szCs w:val="22"/>
        </w:rPr>
        <w:lastRenderedPageBreak/>
        <w:t>(a)</w:t>
      </w:r>
      <w:bookmarkEnd w:id="5"/>
      <w:r w:rsidRPr="00EF2258">
        <w:rPr>
          <w:rFonts w:ascii="Courier New" w:hAnsi="Courier New" w:cs="Courier New"/>
          <w:sz w:val="22"/>
          <w:szCs w:val="22"/>
        </w:rPr>
        <w:t xml:space="preserve"> The provider does not timely submit complete and accurate resident assessment data necessary to determine the ICF/IID's case-mix score for the calendar quarter; </w:t>
      </w:r>
    </w:p>
    <w:p w:rsidR="00580080" w:rsidRPr="00EF2258" w:rsidRDefault="00580080" w:rsidP="00580080">
      <w:pPr>
        <w:pStyle w:val="NormalWeb"/>
        <w:rPr>
          <w:rFonts w:ascii="Courier New" w:hAnsi="Courier New" w:cs="Courier New"/>
          <w:sz w:val="22"/>
          <w:szCs w:val="22"/>
        </w:rPr>
      </w:pPr>
      <w:bookmarkStart w:id="6" w:name="5124.192(B)(1)(b)"/>
      <w:r w:rsidRPr="00EF2258">
        <w:rPr>
          <w:rFonts w:ascii="Courier New" w:hAnsi="Courier New" w:cs="Courier New"/>
          <w:sz w:val="22"/>
          <w:szCs w:val="22"/>
        </w:rPr>
        <w:t>(b)</w:t>
      </w:r>
      <w:bookmarkEnd w:id="6"/>
      <w:r w:rsidRPr="00EF2258">
        <w:rPr>
          <w:rFonts w:ascii="Courier New" w:hAnsi="Courier New" w:cs="Courier New"/>
          <w:sz w:val="22"/>
          <w:szCs w:val="22"/>
        </w:rPr>
        <w:t xml:space="preserve"> The ICF/IID was subject to an exception review under section 5124.193 of the Revised Code for the immediately preceding calendar quarter; </w:t>
      </w:r>
    </w:p>
    <w:p w:rsidR="00580080" w:rsidRPr="00EF2258" w:rsidRDefault="00580080" w:rsidP="00580080">
      <w:pPr>
        <w:pStyle w:val="NormalWeb"/>
        <w:rPr>
          <w:rFonts w:ascii="Courier New" w:hAnsi="Courier New" w:cs="Courier New"/>
          <w:sz w:val="22"/>
          <w:szCs w:val="22"/>
        </w:rPr>
      </w:pPr>
      <w:bookmarkStart w:id="7" w:name="5124.192(B)(1)(c)"/>
      <w:r w:rsidRPr="00EF2258">
        <w:rPr>
          <w:rFonts w:ascii="Courier New" w:hAnsi="Courier New" w:cs="Courier New"/>
          <w:sz w:val="22"/>
          <w:szCs w:val="22"/>
        </w:rPr>
        <w:t>(c)</w:t>
      </w:r>
      <w:bookmarkEnd w:id="7"/>
      <w:r w:rsidRPr="00EF2258">
        <w:rPr>
          <w:rFonts w:ascii="Courier New" w:hAnsi="Courier New" w:cs="Courier New"/>
          <w:sz w:val="22"/>
          <w:szCs w:val="22"/>
        </w:rPr>
        <w:t xml:space="preserve"> The ICF/IID was assigned a case-mix score for the immediately preceding calendar quarter. </w:t>
      </w:r>
    </w:p>
    <w:p w:rsidR="00580080" w:rsidRPr="00EF2258" w:rsidRDefault="00580080" w:rsidP="00580080">
      <w:pPr>
        <w:pStyle w:val="NormalWeb"/>
        <w:rPr>
          <w:rFonts w:ascii="Courier New" w:hAnsi="Courier New" w:cs="Courier New"/>
          <w:sz w:val="22"/>
          <w:szCs w:val="22"/>
        </w:rPr>
      </w:pPr>
      <w:bookmarkStart w:id="8" w:name="5124.192(B)(2)"/>
      <w:r w:rsidRPr="00EF2258">
        <w:rPr>
          <w:rFonts w:ascii="Courier New" w:hAnsi="Courier New" w:cs="Courier New"/>
          <w:sz w:val="22"/>
          <w:szCs w:val="22"/>
        </w:rPr>
        <w:t>(2)</w:t>
      </w:r>
      <w:bookmarkEnd w:id="8"/>
      <w:r w:rsidRPr="00EF2258">
        <w:rPr>
          <w:rFonts w:ascii="Courier New" w:hAnsi="Courier New" w:cs="Courier New"/>
          <w:sz w:val="22"/>
          <w:szCs w:val="22"/>
        </w:rPr>
        <w:t xml:space="preserve"> Before assigning a case-mix score to an ICF/IID due to the submission of incorrect resident assessment data, the department shall permit the provider to correct the data. The department may assign the case-mix score if the provider fails to submit the corrected resident assessment data not later than forty-five days after the end of the calendar quarter to which the data pertains or later due date specified in rules authorized by this section. </w:t>
      </w:r>
    </w:p>
    <w:p w:rsidR="00580080" w:rsidRPr="00EF2258" w:rsidRDefault="00580080" w:rsidP="00580080">
      <w:pPr>
        <w:pStyle w:val="NormalWeb"/>
        <w:rPr>
          <w:rFonts w:ascii="Courier New" w:hAnsi="Courier New" w:cs="Courier New"/>
          <w:sz w:val="22"/>
          <w:szCs w:val="22"/>
        </w:rPr>
      </w:pPr>
      <w:bookmarkStart w:id="9" w:name="5124.192(B)(3)"/>
      <w:r w:rsidRPr="00EF2258">
        <w:rPr>
          <w:rFonts w:ascii="Courier New" w:hAnsi="Courier New" w:cs="Courier New"/>
          <w:sz w:val="22"/>
          <w:szCs w:val="22"/>
        </w:rPr>
        <w:t>(3)</w:t>
      </w:r>
      <w:bookmarkEnd w:id="9"/>
      <w:r w:rsidRPr="00EF2258">
        <w:rPr>
          <w:rFonts w:ascii="Courier New" w:hAnsi="Courier New" w:cs="Courier New"/>
          <w:sz w:val="22"/>
          <w:szCs w:val="22"/>
        </w:rPr>
        <w:t xml:space="preserve"> If, for more than six months during a calendar year, a provider is paid a rate determined for an ICF/IID using a case-mix score assigned to the ICF/IID</w:t>
      </w:r>
      <w:r w:rsidR="00F66C17">
        <w:rPr>
          <w:rFonts w:ascii="Courier New" w:hAnsi="Courier New" w:cs="Courier New"/>
          <w:sz w:val="22"/>
          <w:szCs w:val="22"/>
        </w:rPr>
        <w:t xml:space="preserve"> under division (B)(</w:t>
      </w:r>
      <w:r w:rsidRPr="00EF2258">
        <w:rPr>
          <w:rFonts w:ascii="Courier New" w:hAnsi="Courier New" w:cs="Courier New"/>
          <w:sz w:val="22"/>
          <w:szCs w:val="22"/>
        </w:rPr>
        <w:t xml:space="preserve">1) of this section, the department may assign the ICF/IID a cost per case-mix unit that is five per cent less than the ICF/IID's actual or assigned cost per case-mix unit for the immediately preceding calendar year. The department may use the assigned cost per case-mix unit, instead of determining the ICF/IID's actual cost per case-mix unit in accordance with section 5124.19 of the Revised Code, to establish the ICF/IID's rate for direct care costs for the fiscal year immediately following the calendar year for which the cost per case-mix unit is assigned. </w:t>
      </w:r>
    </w:p>
    <w:p w:rsidR="00331701" w:rsidRPr="00EF2258" w:rsidRDefault="00580080" w:rsidP="00580080">
      <w:pPr>
        <w:pStyle w:val="NormalWeb"/>
        <w:rPr>
          <w:rFonts w:ascii="Courier New" w:hAnsi="Courier New" w:cs="Courier New"/>
          <w:sz w:val="22"/>
          <w:szCs w:val="22"/>
          <w:u w:val="single"/>
        </w:rPr>
      </w:pPr>
      <w:bookmarkStart w:id="10" w:name="5124.192(B)(4)"/>
      <w:r w:rsidRPr="00EF2258">
        <w:rPr>
          <w:rFonts w:ascii="Courier New" w:hAnsi="Courier New" w:cs="Courier New"/>
          <w:sz w:val="22"/>
          <w:szCs w:val="22"/>
        </w:rPr>
        <w:t>(4)</w:t>
      </w:r>
      <w:bookmarkEnd w:id="10"/>
      <w:r w:rsidRPr="00EF2258">
        <w:rPr>
          <w:rFonts w:ascii="Courier New" w:hAnsi="Courier New" w:cs="Courier New"/>
          <w:sz w:val="22"/>
          <w:szCs w:val="22"/>
        </w:rPr>
        <w:t xml:space="preserve"> The department shall take action under division (B)(1), (2), or (3) of this section only in accordance with rules authorized by this section. The department shall not take an action that affects </w:t>
      </w:r>
      <w:proofErr w:type="spellStart"/>
      <w:r w:rsidRPr="00EF2258">
        <w:rPr>
          <w:rFonts w:ascii="Courier New" w:hAnsi="Courier New" w:cs="Courier New"/>
          <w:sz w:val="22"/>
          <w:szCs w:val="22"/>
        </w:rPr>
        <w:t>medicaid</w:t>
      </w:r>
      <w:proofErr w:type="spellEnd"/>
      <w:r w:rsidRPr="00EF2258">
        <w:rPr>
          <w:rFonts w:ascii="Courier New" w:hAnsi="Courier New" w:cs="Courier New"/>
          <w:sz w:val="22"/>
          <w:szCs w:val="22"/>
        </w:rPr>
        <w:t xml:space="preserve"> payment rates for prior payment periods except in accordance with sections 5124.41 and 5124.42 of the Revised Code. </w:t>
      </w:r>
      <w:r w:rsidR="00331701" w:rsidRPr="00EF2258">
        <w:rPr>
          <w:rFonts w:ascii="Courier New" w:hAnsi="Courier New" w:cs="Courier New"/>
          <w:sz w:val="22"/>
          <w:szCs w:val="22"/>
          <w:u w:val="single"/>
        </w:rPr>
        <w:t>In calculating costs per case-mix unit under this section, the department shall not change the manner of applying the grouper methodology under this section without doing all of the following:</w:t>
      </w:r>
    </w:p>
    <w:p w:rsidR="007204FC" w:rsidRPr="007204FC" w:rsidRDefault="007204FC" w:rsidP="00580080">
      <w:pPr>
        <w:pStyle w:val="NormalWeb"/>
        <w:rPr>
          <w:rFonts w:ascii="Courier New" w:hAnsi="Courier New" w:cs="Courier New"/>
          <w:sz w:val="22"/>
          <w:szCs w:val="22"/>
          <w:u w:val="single"/>
        </w:rPr>
      </w:pPr>
      <w:r w:rsidRPr="007204FC">
        <w:rPr>
          <w:rFonts w:ascii="Courier New" w:hAnsi="Courier New" w:cs="Courier New"/>
          <w:highlight w:val="yellow"/>
          <w:u w:val="single"/>
        </w:rPr>
        <w:t xml:space="preserve">(a) </w:t>
      </w:r>
      <w:r w:rsidRPr="007204FC">
        <w:rPr>
          <w:rFonts w:ascii="Courier New" w:hAnsi="Courier New" w:cs="Courier New"/>
          <w:highlight w:val="yellow"/>
          <w:u w:val="single"/>
        </w:rPr>
        <w:t>Determin</w:t>
      </w:r>
      <w:r w:rsidRPr="007204FC">
        <w:rPr>
          <w:rFonts w:ascii="Courier New" w:hAnsi="Courier New" w:cs="Courier New"/>
          <w:highlight w:val="yellow"/>
          <w:u w:val="single"/>
        </w:rPr>
        <w:t>ing</w:t>
      </w:r>
      <w:r w:rsidRPr="007204FC">
        <w:rPr>
          <w:rFonts w:ascii="Courier New" w:hAnsi="Courier New" w:cs="Courier New"/>
          <w:highlight w:val="yellow"/>
          <w:u w:val="single"/>
        </w:rPr>
        <w:t xml:space="preserve"> that the change is </w:t>
      </w:r>
      <w:r w:rsidRPr="007204FC">
        <w:rPr>
          <w:rFonts w:ascii="Courier New" w:hAnsi="Courier New" w:cs="Courier New"/>
          <w:highlight w:val="yellow"/>
          <w:u w:val="single"/>
        </w:rPr>
        <w:t>not inconsistent with</w:t>
      </w:r>
      <w:r w:rsidRPr="007204FC">
        <w:rPr>
          <w:rFonts w:ascii="Courier New" w:hAnsi="Courier New" w:cs="Courier New"/>
          <w:highlight w:val="yellow"/>
          <w:u w:val="single"/>
        </w:rPr>
        <w:t xml:space="preserve"> the documentation of ICF/IID staff time that was used to create the grouper methodology</w:t>
      </w:r>
      <w:r w:rsidRPr="007204FC">
        <w:rPr>
          <w:rFonts w:ascii="Courier New" w:hAnsi="Courier New" w:cs="Courier New"/>
          <w:highlight w:val="yellow"/>
          <w:u w:val="single"/>
        </w:rPr>
        <w:t>;</w:t>
      </w:r>
      <w:r w:rsidRPr="007204FC">
        <w:rPr>
          <w:rFonts w:ascii="Courier New" w:hAnsi="Courier New" w:cs="Courier New"/>
          <w:sz w:val="22"/>
          <w:szCs w:val="22"/>
          <w:u w:val="single"/>
        </w:rPr>
        <w:t xml:space="preserve"> </w:t>
      </w:r>
    </w:p>
    <w:p w:rsidR="00331701" w:rsidRPr="00EF2258" w:rsidRDefault="00331701" w:rsidP="00580080">
      <w:pPr>
        <w:pStyle w:val="NormalWeb"/>
        <w:rPr>
          <w:rFonts w:ascii="Courier New" w:hAnsi="Courier New" w:cs="Courier New"/>
          <w:sz w:val="22"/>
          <w:szCs w:val="22"/>
          <w:u w:val="single"/>
        </w:rPr>
      </w:pPr>
      <w:r w:rsidRPr="00EF2258">
        <w:rPr>
          <w:rFonts w:ascii="Courier New" w:hAnsi="Courier New" w:cs="Courier New"/>
          <w:sz w:val="22"/>
          <w:szCs w:val="22"/>
          <w:u w:val="single"/>
        </w:rPr>
        <w:t>(b) Obtaining input on the change from ICF/IID representatives;</w:t>
      </w:r>
    </w:p>
    <w:p w:rsidR="00331701" w:rsidRPr="00EF2258" w:rsidRDefault="00331701" w:rsidP="00580080">
      <w:pPr>
        <w:pStyle w:val="NormalWeb"/>
        <w:rPr>
          <w:rFonts w:ascii="Courier New" w:hAnsi="Courier New" w:cs="Courier New"/>
          <w:sz w:val="22"/>
          <w:szCs w:val="22"/>
          <w:u w:val="single"/>
        </w:rPr>
      </w:pPr>
      <w:r w:rsidRPr="00EF2258">
        <w:rPr>
          <w:rFonts w:ascii="Courier New" w:hAnsi="Courier New" w:cs="Courier New"/>
          <w:sz w:val="22"/>
          <w:szCs w:val="22"/>
          <w:u w:val="single"/>
        </w:rPr>
        <w:t>(c) Notifying all ICFs/IID of the change;</w:t>
      </w:r>
    </w:p>
    <w:p w:rsidR="00580080" w:rsidRPr="00EF2258" w:rsidRDefault="00331701" w:rsidP="00580080">
      <w:pPr>
        <w:pStyle w:val="NormalWeb"/>
        <w:rPr>
          <w:rFonts w:ascii="Courier New" w:hAnsi="Courier New" w:cs="Courier New"/>
          <w:sz w:val="22"/>
          <w:szCs w:val="22"/>
          <w:u w:val="single"/>
        </w:rPr>
      </w:pPr>
      <w:r w:rsidRPr="00EF2258">
        <w:rPr>
          <w:rFonts w:ascii="Courier New" w:hAnsi="Courier New" w:cs="Courier New"/>
          <w:sz w:val="22"/>
          <w:szCs w:val="22"/>
          <w:u w:val="single"/>
        </w:rPr>
        <w:t xml:space="preserve">(d) Applying the change prospectively. </w:t>
      </w:r>
    </w:p>
    <w:p w:rsidR="00580080" w:rsidRPr="00EF2258" w:rsidRDefault="00580080" w:rsidP="00580080">
      <w:pPr>
        <w:pStyle w:val="NormalWeb"/>
        <w:rPr>
          <w:rFonts w:ascii="Courier New" w:hAnsi="Courier New" w:cs="Courier New"/>
          <w:sz w:val="22"/>
          <w:szCs w:val="22"/>
        </w:rPr>
      </w:pPr>
      <w:bookmarkStart w:id="11" w:name="5124.192(C)"/>
      <w:r w:rsidRPr="00EF2258">
        <w:rPr>
          <w:rFonts w:ascii="Courier New" w:hAnsi="Courier New" w:cs="Courier New"/>
          <w:sz w:val="22"/>
          <w:szCs w:val="22"/>
        </w:rPr>
        <w:lastRenderedPageBreak/>
        <w:t>(C)</w:t>
      </w:r>
      <w:bookmarkEnd w:id="11"/>
      <w:r w:rsidRPr="00EF2258">
        <w:rPr>
          <w:rFonts w:ascii="Courier New" w:hAnsi="Courier New" w:cs="Courier New"/>
          <w:sz w:val="22"/>
          <w:szCs w:val="22"/>
        </w:rPr>
        <w:t xml:space="preserve"> The director of developmental disabilities shall adopt rules under section 5124.03 of the Revised Code as necessary to implement this section. </w:t>
      </w:r>
    </w:p>
    <w:p w:rsidR="00580080" w:rsidRPr="00EF2258" w:rsidRDefault="00580080" w:rsidP="00580080">
      <w:pPr>
        <w:pStyle w:val="NormalWeb"/>
        <w:rPr>
          <w:rFonts w:ascii="Courier New" w:hAnsi="Courier New" w:cs="Courier New"/>
          <w:sz w:val="22"/>
          <w:szCs w:val="22"/>
        </w:rPr>
      </w:pPr>
      <w:bookmarkStart w:id="12" w:name="5124.192(C)(1)"/>
      <w:r w:rsidRPr="00EF2258">
        <w:rPr>
          <w:rFonts w:ascii="Courier New" w:hAnsi="Courier New" w:cs="Courier New"/>
          <w:sz w:val="22"/>
          <w:szCs w:val="22"/>
        </w:rPr>
        <w:t>(1)</w:t>
      </w:r>
      <w:bookmarkEnd w:id="12"/>
      <w:r w:rsidRPr="00EF2258">
        <w:rPr>
          <w:rFonts w:ascii="Courier New" w:hAnsi="Courier New" w:cs="Courier New"/>
          <w:sz w:val="22"/>
          <w:szCs w:val="22"/>
        </w:rPr>
        <w:t xml:space="preserve"> The rules shall do all of the following: </w:t>
      </w:r>
    </w:p>
    <w:p w:rsidR="00580080" w:rsidRPr="00EF2258" w:rsidRDefault="00580080" w:rsidP="00580080">
      <w:pPr>
        <w:pStyle w:val="NormalWeb"/>
        <w:rPr>
          <w:rFonts w:ascii="Courier New" w:hAnsi="Courier New" w:cs="Courier New"/>
          <w:sz w:val="22"/>
          <w:szCs w:val="22"/>
        </w:rPr>
      </w:pPr>
      <w:bookmarkStart w:id="13" w:name="5124.192(C)(1)(a)"/>
      <w:r w:rsidRPr="00EF2258">
        <w:rPr>
          <w:rFonts w:ascii="Courier New" w:hAnsi="Courier New" w:cs="Courier New"/>
          <w:sz w:val="22"/>
          <w:szCs w:val="22"/>
        </w:rPr>
        <w:t>(a)</w:t>
      </w:r>
      <w:bookmarkEnd w:id="13"/>
      <w:r w:rsidRPr="00EF2258">
        <w:rPr>
          <w:rFonts w:ascii="Courier New" w:hAnsi="Courier New" w:cs="Courier New"/>
          <w:sz w:val="22"/>
          <w:szCs w:val="22"/>
        </w:rPr>
        <w:t xml:space="preserve"> Prescribe a grouper methodology to be used when determining the case-mix scores for ICFs/IID; </w:t>
      </w:r>
    </w:p>
    <w:p w:rsidR="00580080" w:rsidRPr="00EF2258" w:rsidRDefault="00580080" w:rsidP="00580080">
      <w:pPr>
        <w:pStyle w:val="NormalWeb"/>
        <w:rPr>
          <w:rFonts w:ascii="Courier New" w:hAnsi="Courier New" w:cs="Courier New"/>
          <w:sz w:val="22"/>
          <w:szCs w:val="22"/>
        </w:rPr>
      </w:pPr>
      <w:bookmarkStart w:id="14" w:name="5124.192(C)(1)(b)"/>
      <w:r w:rsidRPr="00EF2258">
        <w:rPr>
          <w:rFonts w:ascii="Courier New" w:hAnsi="Courier New" w:cs="Courier New"/>
          <w:sz w:val="22"/>
          <w:szCs w:val="22"/>
        </w:rPr>
        <w:t>(b)</w:t>
      </w:r>
      <w:bookmarkEnd w:id="14"/>
      <w:r w:rsidRPr="00EF2258">
        <w:rPr>
          <w:rFonts w:ascii="Courier New" w:hAnsi="Courier New" w:cs="Courier New"/>
          <w:sz w:val="22"/>
          <w:szCs w:val="22"/>
        </w:rPr>
        <w:t xml:space="preserve"> Specify the process for determining the annual average case-mix scores for ICFs/IID; </w:t>
      </w:r>
    </w:p>
    <w:p w:rsidR="00580080" w:rsidRPr="00EF2258" w:rsidRDefault="00580080" w:rsidP="00580080">
      <w:pPr>
        <w:pStyle w:val="NormalWeb"/>
        <w:rPr>
          <w:rFonts w:ascii="Courier New" w:hAnsi="Courier New" w:cs="Courier New"/>
          <w:sz w:val="22"/>
          <w:szCs w:val="22"/>
        </w:rPr>
      </w:pPr>
      <w:bookmarkStart w:id="15" w:name="5124.192(C)(1)(c)"/>
      <w:r w:rsidRPr="00EF2258">
        <w:rPr>
          <w:rFonts w:ascii="Courier New" w:hAnsi="Courier New" w:cs="Courier New"/>
          <w:sz w:val="22"/>
          <w:szCs w:val="22"/>
        </w:rPr>
        <w:t>(c)</w:t>
      </w:r>
      <w:bookmarkEnd w:id="15"/>
      <w:r w:rsidRPr="00EF2258">
        <w:rPr>
          <w:rFonts w:ascii="Courier New" w:hAnsi="Courier New" w:cs="Courier New"/>
          <w:sz w:val="22"/>
          <w:szCs w:val="22"/>
        </w:rPr>
        <w:t xml:space="preserve"> Establish procedures under which resident assessment data is to be reviewed for accuracy and providers are to be notified of any data that requires correction; </w:t>
      </w:r>
    </w:p>
    <w:p w:rsidR="00580080" w:rsidRPr="00EF2258" w:rsidRDefault="00580080" w:rsidP="00580080">
      <w:pPr>
        <w:pStyle w:val="NormalWeb"/>
        <w:rPr>
          <w:rFonts w:ascii="Courier New" w:hAnsi="Courier New" w:cs="Courier New"/>
          <w:sz w:val="22"/>
          <w:szCs w:val="22"/>
        </w:rPr>
      </w:pPr>
      <w:bookmarkStart w:id="16" w:name="5124.192(C)(1)(d)"/>
      <w:r w:rsidRPr="00EF2258">
        <w:rPr>
          <w:rFonts w:ascii="Courier New" w:hAnsi="Courier New" w:cs="Courier New"/>
          <w:sz w:val="22"/>
          <w:szCs w:val="22"/>
        </w:rPr>
        <w:t>(d)</w:t>
      </w:r>
      <w:bookmarkEnd w:id="16"/>
      <w:r w:rsidRPr="00EF2258">
        <w:rPr>
          <w:rFonts w:ascii="Courier New" w:hAnsi="Courier New" w:cs="Courier New"/>
          <w:sz w:val="22"/>
          <w:szCs w:val="22"/>
        </w:rPr>
        <w:t xml:space="preserve"> Establish procedures for providers to correct resident assessment data and, if necessary, specify a due date for corrections that is later than the due date specified in division (B)(2) of this section. </w:t>
      </w:r>
    </w:p>
    <w:p w:rsidR="00580080" w:rsidRPr="00EF2258" w:rsidRDefault="00580080" w:rsidP="00580080">
      <w:pPr>
        <w:pStyle w:val="NormalWeb"/>
        <w:rPr>
          <w:rFonts w:ascii="Courier New" w:hAnsi="Courier New" w:cs="Courier New"/>
          <w:sz w:val="22"/>
          <w:szCs w:val="22"/>
        </w:rPr>
      </w:pPr>
      <w:bookmarkStart w:id="17" w:name="5124.192(C)(1)(e)"/>
      <w:r w:rsidRPr="00EF2258">
        <w:rPr>
          <w:rFonts w:ascii="Courier New" w:hAnsi="Courier New" w:cs="Courier New"/>
          <w:sz w:val="22"/>
          <w:szCs w:val="22"/>
        </w:rPr>
        <w:t>(e)</w:t>
      </w:r>
      <w:bookmarkEnd w:id="17"/>
      <w:r w:rsidRPr="00EF2258">
        <w:rPr>
          <w:rFonts w:ascii="Courier New" w:hAnsi="Courier New" w:cs="Courier New"/>
          <w:sz w:val="22"/>
          <w:szCs w:val="22"/>
        </w:rPr>
        <w:t xml:space="preserve"> Specify when and how the department will assign a case-mix score or cost per case-mix unit to an ICF/IID under division (B) of this section if information necessary to calculate the ICF/IID's case-mix score is not provided or corrected in accordance with the procedures established by the rules. </w:t>
      </w:r>
    </w:p>
    <w:p w:rsidR="00580080" w:rsidRPr="00EF2258" w:rsidRDefault="00580080" w:rsidP="00580080">
      <w:pPr>
        <w:pStyle w:val="NormalWeb"/>
        <w:rPr>
          <w:rFonts w:ascii="Courier New" w:hAnsi="Courier New" w:cs="Courier New"/>
          <w:sz w:val="22"/>
          <w:szCs w:val="22"/>
        </w:rPr>
      </w:pPr>
      <w:bookmarkStart w:id="18" w:name="5124.192(C)(2)"/>
      <w:r w:rsidRPr="00EF2258">
        <w:rPr>
          <w:rFonts w:ascii="Courier New" w:hAnsi="Courier New" w:cs="Courier New"/>
          <w:sz w:val="22"/>
          <w:szCs w:val="22"/>
        </w:rPr>
        <w:t>(2)</w:t>
      </w:r>
      <w:bookmarkEnd w:id="18"/>
      <w:r w:rsidRPr="00EF2258">
        <w:rPr>
          <w:rFonts w:ascii="Courier New" w:hAnsi="Courier New" w:cs="Courier New"/>
          <w:sz w:val="22"/>
          <w:szCs w:val="22"/>
        </w:rPr>
        <w:t xml:space="preserve"> Notwithstanding any other provision of this chapter, the rules may provide for excluding case-mix scores assigned to an ICF/IID under division (B) of this section from the determination of the ICF/IID's annual average case-mix score and the maximum cost per case-mix unit for the ICF/IID's peer group. </w:t>
      </w:r>
    </w:p>
    <w:p w:rsidR="00EF2258" w:rsidRPr="00EF2258" w:rsidRDefault="00EF2258" w:rsidP="00EF2258">
      <w:pPr>
        <w:pStyle w:val="NormalWeb"/>
        <w:rPr>
          <w:rFonts w:ascii="Courier New" w:hAnsi="Courier New" w:cs="Courier New"/>
          <w:sz w:val="22"/>
          <w:szCs w:val="22"/>
        </w:rPr>
      </w:pPr>
      <w:r w:rsidRPr="001142F6">
        <w:rPr>
          <w:rFonts w:ascii="Courier New" w:hAnsi="Courier New" w:cs="Courier New"/>
          <w:b/>
        </w:rPr>
        <w:t>Section 751.20.</w:t>
      </w:r>
      <w:r>
        <w:rPr>
          <w:rFonts w:ascii="Courier New" w:hAnsi="Courier New" w:cs="Courier New"/>
        </w:rPr>
        <w:t xml:space="preserve"> For rates paid to ICFs/IID beginning July 1, 2016, the Department of Developmental Disabilities shall disregard the results of exception reviews conducted under section 5124.193 of the Revised Code for calendar year 2015 if the results are based </w:t>
      </w:r>
      <w:r w:rsidRPr="00EF2258">
        <w:rPr>
          <w:rFonts w:ascii="Courier New" w:hAnsi="Courier New" w:cs="Courier New"/>
        </w:rPr>
        <w:t xml:space="preserve">on </w:t>
      </w:r>
      <w:r>
        <w:rPr>
          <w:rFonts w:ascii="Courier New" w:hAnsi="Courier New" w:cs="Courier New"/>
        </w:rPr>
        <w:t xml:space="preserve">a change in the </w:t>
      </w:r>
      <w:r w:rsidRPr="00EF2258">
        <w:rPr>
          <w:rFonts w:ascii="Courier New" w:hAnsi="Courier New" w:cs="Courier New"/>
          <w:sz w:val="22"/>
          <w:szCs w:val="22"/>
        </w:rPr>
        <w:t xml:space="preserve">instructions </w:t>
      </w:r>
      <w:r w:rsidR="007204FC" w:rsidRPr="007204FC">
        <w:rPr>
          <w:rFonts w:ascii="Courier New" w:hAnsi="Courier New" w:cs="Courier New"/>
          <w:sz w:val="22"/>
          <w:szCs w:val="22"/>
          <w:highlight w:val="yellow"/>
        </w:rPr>
        <w:t>or guidelines</w:t>
      </w:r>
      <w:r w:rsidR="007204FC">
        <w:rPr>
          <w:rFonts w:ascii="Courier New" w:hAnsi="Courier New" w:cs="Courier New"/>
          <w:sz w:val="22"/>
          <w:szCs w:val="22"/>
        </w:rPr>
        <w:t xml:space="preserve"> </w:t>
      </w:r>
      <w:r w:rsidRPr="00EF2258">
        <w:rPr>
          <w:rFonts w:ascii="Courier New" w:hAnsi="Courier New" w:cs="Courier New"/>
          <w:sz w:val="22"/>
          <w:szCs w:val="22"/>
        </w:rPr>
        <w:t>for completing the asses</w:t>
      </w:r>
      <w:bookmarkStart w:id="19" w:name="_GoBack"/>
      <w:bookmarkEnd w:id="19"/>
      <w:r w:rsidRPr="00EF2258">
        <w:rPr>
          <w:rFonts w:ascii="Courier New" w:hAnsi="Courier New" w:cs="Courier New"/>
          <w:sz w:val="22"/>
          <w:szCs w:val="22"/>
        </w:rPr>
        <w:t xml:space="preserve">sment form under section 5124.191 </w:t>
      </w:r>
      <w:r>
        <w:rPr>
          <w:rFonts w:ascii="Courier New" w:hAnsi="Courier New" w:cs="Courier New"/>
          <w:sz w:val="22"/>
          <w:szCs w:val="22"/>
        </w:rPr>
        <w:t xml:space="preserve">of the Revised Code </w:t>
      </w:r>
      <w:r w:rsidRPr="00EF2258">
        <w:rPr>
          <w:rFonts w:ascii="Courier New" w:hAnsi="Courier New" w:cs="Courier New"/>
          <w:sz w:val="22"/>
          <w:szCs w:val="22"/>
        </w:rPr>
        <w:t xml:space="preserve">or </w:t>
      </w:r>
      <w:r>
        <w:rPr>
          <w:rFonts w:ascii="Courier New" w:hAnsi="Courier New" w:cs="Courier New"/>
          <w:sz w:val="22"/>
          <w:szCs w:val="22"/>
        </w:rPr>
        <w:t xml:space="preserve">a </w:t>
      </w:r>
      <w:r w:rsidRPr="00EF2258">
        <w:rPr>
          <w:rFonts w:ascii="Courier New" w:hAnsi="Courier New" w:cs="Courier New"/>
          <w:sz w:val="22"/>
          <w:szCs w:val="22"/>
        </w:rPr>
        <w:t xml:space="preserve">change the manner of applying the grouper methodology under section </w:t>
      </w:r>
      <w:r>
        <w:rPr>
          <w:rFonts w:ascii="Courier New" w:hAnsi="Courier New" w:cs="Courier New"/>
          <w:sz w:val="22"/>
          <w:szCs w:val="22"/>
        </w:rPr>
        <w:t>5124.192 of the Revised Code for which the Department did not do</w:t>
      </w:r>
      <w:r w:rsidRPr="00EF2258">
        <w:rPr>
          <w:rFonts w:ascii="Courier New" w:hAnsi="Courier New" w:cs="Courier New"/>
          <w:sz w:val="22"/>
          <w:szCs w:val="22"/>
        </w:rPr>
        <w:t xml:space="preserve"> all of the following:</w:t>
      </w:r>
    </w:p>
    <w:p w:rsidR="007204FC" w:rsidRPr="007204FC" w:rsidRDefault="007204FC" w:rsidP="007204FC">
      <w:pPr>
        <w:pStyle w:val="NormalWeb"/>
        <w:rPr>
          <w:rFonts w:ascii="Courier New" w:hAnsi="Courier New" w:cs="Courier New"/>
          <w:sz w:val="22"/>
          <w:szCs w:val="22"/>
        </w:rPr>
      </w:pPr>
      <w:r w:rsidRPr="007204FC">
        <w:rPr>
          <w:rFonts w:ascii="Courier New" w:hAnsi="Courier New" w:cs="Courier New"/>
          <w:highlight w:val="yellow"/>
        </w:rPr>
        <w:t>(A</w:t>
      </w:r>
      <w:r w:rsidRPr="007204FC">
        <w:rPr>
          <w:rFonts w:ascii="Courier New" w:hAnsi="Courier New" w:cs="Courier New"/>
          <w:highlight w:val="yellow"/>
        </w:rPr>
        <w:t>) Determining that the change is not inconsistent with the documentation of ICF/IID staff time that was used to create the grouper methodology;</w:t>
      </w:r>
      <w:r w:rsidRPr="007204FC">
        <w:rPr>
          <w:rFonts w:ascii="Courier New" w:hAnsi="Courier New" w:cs="Courier New"/>
          <w:sz w:val="22"/>
          <w:szCs w:val="22"/>
        </w:rPr>
        <w:t xml:space="preserve"> </w:t>
      </w:r>
    </w:p>
    <w:p w:rsidR="00EF2258" w:rsidRPr="00EF2258" w:rsidRDefault="00EF2258" w:rsidP="007204FC">
      <w:pPr>
        <w:pStyle w:val="NormalWeb"/>
        <w:rPr>
          <w:rFonts w:ascii="Courier New" w:hAnsi="Courier New" w:cs="Courier New"/>
          <w:sz w:val="22"/>
          <w:szCs w:val="22"/>
        </w:rPr>
      </w:pPr>
      <w:r>
        <w:rPr>
          <w:rFonts w:ascii="Courier New" w:hAnsi="Courier New" w:cs="Courier New"/>
          <w:sz w:val="22"/>
          <w:szCs w:val="22"/>
        </w:rPr>
        <w:t>(B</w:t>
      </w:r>
      <w:r w:rsidRPr="00EF2258">
        <w:rPr>
          <w:rFonts w:ascii="Courier New" w:hAnsi="Courier New" w:cs="Courier New"/>
          <w:sz w:val="22"/>
          <w:szCs w:val="22"/>
        </w:rPr>
        <w:t>) Obtain input on the change from ICF/IID representatives;</w:t>
      </w:r>
    </w:p>
    <w:p w:rsidR="00EF2258" w:rsidRPr="00EF2258" w:rsidRDefault="00EF2258" w:rsidP="00EF2258">
      <w:pPr>
        <w:pStyle w:val="NormalWeb"/>
        <w:rPr>
          <w:rFonts w:ascii="Courier New" w:hAnsi="Courier New" w:cs="Courier New"/>
          <w:sz w:val="22"/>
          <w:szCs w:val="22"/>
        </w:rPr>
      </w:pPr>
      <w:r>
        <w:rPr>
          <w:rFonts w:ascii="Courier New" w:hAnsi="Courier New" w:cs="Courier New"/>
          <w:sz w:val="22"/>
          <w:szCs w:val="22"/>
        </w:rPr>
        <w:t>(C</w:t>
      </w:r>
      <w:r w:rsidRPr="00EF2258">
        <w:rPr>
          <w:rFonts w:ascii="Courier New" w:hAnsi="Courier New" w:cs="Courier New"/>
          <w:sz w:val="22"/>
          <w:szCs w:val="22"/>
        </w:rPr>
        <w:t>) Notify all ICFs/IID of the change;</w:t>
      </w:r>
    </w:p>
    <w:p w:rsidR="00CA56B8" w:rsidRPr="00EF2258" w:rsidRDefault="00EF2258" w:rsidP="001142F6">
      <w:pPr>
        <w:pStyle w:val="NormalWeb"/>
        <w:rPr>
          <w:rFonts w:ascii="Courier New" w:hAnsi="Courier New" w:cs="Courier New"/>
          <w:sz w:val="22"/>
          <w:szCs w:val="22"/>
        </w:rPr>
      </w:pPr>
      <w:r>
        <w:rPr>
          <w:rFonts w:ascii="Courier New" w:hAnsi="Courier New" w:cs="Courier New"/>
          <w:sz w:val="22"/>
          <w:szCs w:val="22"/>
        </w:rPr>
        <w:lastRenderedPageBreak/>
        <w:t>(D</w:t>
      </w:r>
      <w:r w:rsidRPr="00EF2258">
        <w:rPr>
          <w:rFonts w:ascii="Courier New" w:hAnsi="Courier New" w:cs="Courier New"/>
          <w:sz w:val="22"/>
          <w:szCs w:val="22"/>
        </w:rPr>
        <w:t xml:space="preserve">) Apply the change prospectively. </w:t>
      </w:r>
    </w:p>
    <w:sectPr w:rsidR="00CA56B8" w:rsidRPr="00EF22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080" w:rsidRDefault="00580080" w:rsidP="00580080">
      <w:r>
        <w:separator/>
      </w:r>
    </w:p>
  </w:endnote>
  <w:endnote w:type="continuationSeparator" w:id="0">
    <w:p w:rsidR="00580080" w:rsidRDefault="00580080" w:rsidP="0058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780763"/>
      <w:docPartObj>
        <w:docPartGallery w:val="Page Numbers (Bottom of Page)"/>
        <w:docPartUnique/>
      </w:docPartObj>
    </w:sdtPr>
    <w:sdtEndPr>
      <w:rPr>
        <w:noProof/>
      </w:rPr>
    </w:sdtEndPr>
    <w:sdtContent>
      <w:p w:rsidR="00F66C17" w:rsidRDefault="00F66C17">
        <w:pPr>
          <w:pStyle w:val="Footer"/>
          <w:jc w:val="center"/>
        </w:pPr>
        <w:r>
          <w:fldChar w:fldCharType="begin"/>
        </w:r>
        <w:r>
          <w:instrText xml:space="preserve"> PAGE   \* MERGEFORMAT </w:instrText>
        </w:r>
        <w:r>
          <w:fldChar w:fldCharType="separate"/>
        </w:r>
        <w:r w:rsidR="007204FC">
          <w:rPr>
            <w:noProof/>
          </w:rPr>
          <w:t>3</w:t>
        </w:r>
        <w:r>
          <w:rPr>
            <w:noProof/>
          </w:rPr>
          <w:fldChar w:fldCharType="end"/>
        </w:r>
      </w:p>
    </w:sdtContent>
  </w:sdt>
  <w:p w:rsidR="00580080" w:rsidRDefault="00580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080" w:rsidRDefault="00580080" w:rsidP="00580080">
      <w:r>
        <w:separator/>
      </w:r>
    </w:p>
  </w:footnote>
  <w:footnote w:type="continuationSeparator" w:id="0">
    <w:p w:rsidR="00580080" w:rsidRDefault="00580080" w:rsidP="00580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35"/>
    <w:rsid w:val="001142F6"/>
    <w:rsid w:val="001426EE"/>
    <w:rsid w:val="00285035"/>
    <w:rsid w:val="00331701"/>
    <w:rsid w:val="00580080"/>
    <w:rsid w:val="007204FC"/>
    <w:rsid w:val="00CA56B8"/>
    <w:rsid w:val="00EF2258"/>
    <w:rsid w:val="00F60944"/>
    <w:rsid w:val="00F6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2E6CD-5EB0-490C-B2BE-2D6100BD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unhideWhenUsed/>
    <w:rsid w:val="0028503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0080"/>
    <w:pPr>
      <w:tabs>
        <w:tab w:val="center" w:pos="4680"/>
        <w:tab w:val="right" w:pos="9360"/>
      </w:tabs>
    </w:pPr>
  </w:style>
  <w:style w:type="character" w:customStyle="1" w:styleId="HeaderChar">
    <w:name w:val="Header Char"/>
    <w:basedOn w:val="DefaultParagraphFont"/>
    <w:link w:val="Header"/>
    <w:uiPriority w:val="99"/>
    <w:rsid w:val="00580080"/>
  </w:style>
  <w:style w:type="paragraph" w:styleId="Footer">
    <w:name w:val="footer"/>
    <w:basedOn w:val="Normal"/>
    <w:link w:val="FooterChar"/>
    <w:uiPriority w:val="99"/>
    <w:unhideWhenUsed/>
    <w:rsid w:val="00580080"/>
    <w:pPr>
      <w:tabs>
        <w:tab w:val="center" w:pos="4680"/>
        <w:tab w:val="right" w:pos="9360"/>
      </w:tabs>
    </w:pPr>
  </w:style>
  <w:style w:type="character" w:customStyle="1" w:styleId="FooterChar">
    <w:name w:val="Footer Char"/>
    <w:basedOn w:val="DefaultParagraphFont"/>
    <w:link w:val="Footer"/>
    <w:uiPriority w:val="99"/>
    <w:rsid w:val="00580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79359">
      <w:bodyDiv w:val="1"/>
      <w:marLeft w:val="0"/>
      <w:marRight w:val="0"/>
      <w:marTop w:val="0"/>
      <w:marBottom w:val="0"/>
      <w:divBdr>
        <w:top w:val="none" w:sz="0" w:space="0" w:color="auto"/>
        <w:left w:val="none" w:sz="0" w:space="0" w:color="auto"/>
        <w:bottom w:val="none" w:sz="0" w:space="0" w:color="auto"/>
        <w:right w:val="none" w:sz="0" w:space="0" w:color="auto"/>
      </w:divBdr>
    </w:div>
    <w:div w:id="1759785780">
      <w:bodyDiv w:val="1"/>
      <w:marLeft w:val="0"/>
      <w:marRight w:val="0"/>
      <w:marTop w:val="0"/>
      <w:marBottom w:val="0"/>
      <w:divBdr>
        <w:top w:val="none" w:sz="0" w:space="0" w:color="auto"/>
        <w:left w:val="none" w:sz="0" w:space="0" w:color="auto"/>
        <w:bottom w:val="none" w:sz="0" w:space="0" w:color="auto"/>
        <w:right w:val="none" w:sz="0" w:space="0" w:color="auto"/>
      </w:divBdr>
    </w:div>
    <w:div w:id="20378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vanrunkle\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4</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pvanrunkle</dc:creator>
  <cp:keywords/>
  <dc:description/>
  <cp:lastModifiedBy>Pete Van Runkle</cp:lastModifiedBy>
  <cp:revision>3</cp:revision>
  <dcterms:created xsi:type="dcterms:W3CDTF">2016-04-28T13:57:00Z</dcterms:created>
  <dcterms:modified xsi:type="dcterms:W3CDTF">2016-04-28T14:01:00Z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