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D944FD" w14:textId="12C7D538" w:rsidR="004D17C9" w:rsidRDefault="004D17C9" w:rsidP="00387B61">
      <w:pPr>
        <w:jc w:val="center"/>
        <w:rPr>
          <w:rFonts w:ascii="Helvetica Neue" w:hAnsi="Helvetica Neue" w:cs="Helvetica Neue"/>
          <w:b/>
          <w:sz w:val="36"/>
          <w:szCs w:val="36"/>
        </w:rPr>
      </w:pPr>
      <w:r>
        <w:rPr>
          <w:rFonts w:ascii="Helvetica Neue" w:hAnsi="Helvetica Neue" w:cs="Helvetica Neue"/>
          <w:b/>
          <w:sz w:val="36"/>
          <w:szCs w:val="36"/>
        </w:rPr>
        <w:t>Ohio Provider Resource Association (OPRA) and Ohio Provider Resource Association Foundation</w:t>
      </w:r>
    </w:p>
    <w:p w14:paraId="47D55F4A" w14:textId="440ADD51" w:rsidR="00387B61" w:rsidRPr="00387B61" w:rsidRDefault="00387B61" w:rsidP="00387B61">
      <w:pPr>
        <w:jc w:val="center"/>
        <w:rPr>
          <w:rFonts w:ascii="Helvetica Neue" w:hAnsi="Helvetica Neue" w:cs="Helvetica Neue"/>
          <w:b/>
          <w:sz w:val="36"/>
          <w:szCs w:val="36"/>
        </w:rPr>
      </w:pPr>
      <w:r w:rsidRPr="00387B61">
        <w:rPr>
          <w:rFonts w:ascii="Helvetica Neue" w:hAnsi="Helvetica Neue" w:cs="Helvetica Neue"/>
          <w:b/>
          <w:sz w:val="36"/>
          <w:szCs w:val="36"/>
        </w:rPr>
        <w:t>Investment Policy</w:t>
      </w:r>
    </w:p>
    <w:p w14:paraId="5FB56735" w14:textId="77777777" w:rsidR="00387B61" w:rsidRDefault="00387B61" w:rsidP="00ED66B9">
      <w:pPr>
        <w:rPr>
          <w:rFonts w:ascii="Helvetica Neue" w:hAnsi="Helvetica Neue" w:cs="Helvetica Neue"/>
          <w:b/>
          <w:sz w:val="28"/>
          <w:szCs w:val="28"/>
        </w:rPr>
      </w:pPr>
    </w:p>
    <w:p w14:paraId="4D45477A" w14:textId="77777777" w:rsidR="00ED66B9" w:rsidRPr="00387B61" w:rsidRDefault="00ED66B9" w:rsidP="00ED66B9">
      <w:pPr>
        <w:rPr>
          <w:rFonts w:ascii="Helvetica Neue" w:hAnsi="Helvetica Neue" w:cs="Helvetica Neue"/>
          <w:b/>
          <w:sz w:val="28"/>
          <w:szCs w:val="28"/>
        </w:rPr>
      </w:pPr>
      <w:r w:rsidRPr="00387B61">
        <w:rPr>
          <w:rFonts w:ascii="Helvetica Neue" w:hAnsi="Helvetica Neue" w:cs="Helvetica Neue"/>
          <w:b/>
          <w:sz w:val="28"/>
          <w:szCs w:val="28"/>
        </w:rPr>
        <w:t xml:space="preserve">Objectives </w:t>
      </w:r>
    </w:p>
    <w:p w14:paraId="75D3EA62" w14:textId="348006D1" w:rsidR="00ED66B9" w:rsidRDefault="00ED66B9" w:rsidP="00ED66B9">
      <w:pPr>
        <w:rPr>
          <w:rFonts w:ascii="Helvetica Neue" w:hAnsi="Helvetica Neue" w:cs="Helvetica Neue"/>
          <w:sz w:val="28"/>
          <w:szCs w:val="28"/>
        </w:rPr>
      </w:pPr>
      <w:r w:rsidRPr="00ED66B9">
        <w:rPr>
          <w:rFonts w:ascii="Helvetica Neue" w:hAnsi="Helvetica Neue" w:cs="Helvetica Neue"/>
          <w:sz w:val="28"/>
          <w:szCs w:val="28"/>
        </w:rPr>
        <w:t xml:space="preserve">The primary objective of </w:t>
      </w:r>
      <w:r w:rsidR="00387B61">
        <w:rPr>
          <w:rFonts w:ascii="Helvetica Neue" w:hAnsi="Helvetica Neue" w:cs="Helvetica Neue"/>
          <w:sz w:val="28"/>
          <w:szCs w:val="28"/>
        </w:rPr>
        <w:t>O</w:t>
      </w:r>
      <w:r w:rsidR="004D17C9">
        <w:rPr>
          <w:rFonts w:ascii="Helvetica Neue" w:hAnsi="Helvetica Neue" w:cs="Helvetica Neue"/>
          <w:sz w:val="28"/>
          <w:szCs w:val="28"/>
        </w:rPr>
        <w:t>PRA</w:t>
      </w:r>
      <w:r w:rsidRPr="00ED66B9">
        <w:rPr>
          <w:rFonts w:ascii="Helvetica Neue" w:hAnsi="Helvetica Neue" w:cs="Helvetica Neue"/>
          <w:sz w:val="28"/>
          <w:szCs w:val="28"/>
        </w:rPr>
        <w:t xml:space="preserve">’s investment policy is to provide a set of guidelines and performance standards to identify the organization’s risk tolerance and the need to document and communicate objectives, guidelines and performance standards to the investment managers. </w:t>
      </w:r>
    </w:p>
    <w:p w14:paraId="5DD3B45A" w14:textId="77777777" w:rsidR="00387B61" w:rsidRPr="00ED66B9" w:rsidRDefault="00387B61" w:rsidP="00ED66B9">
      <w:pPr>
        <w:rPr>
          <w:rFonts w:ascii="Helvetica Neue" w:hAnsi="Helvetica Neue" w:cs="Helvetica Neue"/>
          <w:sz w:val="28"/>
          <w:szCs w:val="28"/>
        </w:rPr>
      </w:pPr>
    </w:p>
    <w:p w14:paraId="1DBAB930" w14:textId="77777777" w:rsidR="00ED66B9" w:rsidRPr="00387B61" w:rsidRDefault="00ED66B9" w:rsidP="00ED66B9">
      <w:pPr>
        <w:rPr>
          <w:rFonts w:ascii="Helvetica Neue" w:hAnsi="Helvetica Neue" w:cs="Helvetica Neue"/>
          <w:b/>
          <w:sz w:val="28"/>
          <w:szCs w:val="28"/>
        </w:rPr>
      </w:pPr>
      <w:r w:rsidRPr="00387B61">
        <w:rPr>
          <w:rFonts w:ascii="Helvetica Neue" w:hAnsi="Helvetica Neue" w:cs="Helvetica Neue"/>
          <w:b/>
          <w:sz w:val="28"/>
          <w:szCs w:val="28"/>
        </w:rPr>
        <w:t xml:space="preserve">Investment Management </w:t>
      </w:r>
    </w:p>
    <w:p w14:paraId="1F5F2DC6" w14:textId="77777777" w:rsidR="00ED66B9" w:rsidRPr="00ED66B9" w:rsidRDefault="00ED66B9" w:rsidP="00ED66B9">
      <w:pPr>
        <w:rPr>
          <w:rFonts w:ascii="Helvetica Neue" w:hAnsi="Helvetica Neue" w:cs="Helvetica Neue"/>
          <w:sz w:val="28"/>
          <w:szCs w:val="28"/>
        </w:rPr>
      </w:pPr>
      <w:r w:rsidRPr="00ED66B9">
        <w:rPr>
          <w:rFonts w:ascii="Helvetica Neue" w:hAnsi="Helvetica Neue" w:cs="Helvetica Neue"/>
          <w:sz w:val="28"/>
          <w:szCs w:val="28"/>
        </w:rPr>
        <w:t xml:space="preserve">The investment manager </w:t>
      </w:r>
      <w:proofErr w:type="gramStart"/>
      <w:r w:rsidRPr="00ED66B9">
        <w:rPr>
          <w:rFonts w:ascii="Helvetica Neue" w:hAnsi="Helvetica Neue" w:cs="Helvetica Neue"/>
          <w:sz w:val="28"/>
          <w:szCs w:val="28"/>
        </w:rPr>
        <w:t>will be expected</w:t>
      </w:r>
      <w:proofErr w:type="gramEnd"/>
      <w:r w:rsidRPr="00ED66B9">
        <w:rPr>
          <w:rFonts w:ascii="Helvetica Neue" w:hAnsi="Helvetica Neue" w:cs="Helvetica Neue"/>
          <w:sz w:val="28"/>
          <w:szCs w:val="28"/>
        </w:rPr>
        <w:t xml:space="preserve"> to actively manage the total fund by shifting emphasis between equities, fixed income, and cash equivalents within the limits described below. In addition, each asset type </w:t>
      </w:r>
      <w:proofErr w:type="gramStart"/>
      <w:r w:rsidRPr="00ED66B9">
        <w:rPr>
          <w:rFonts w:ascii="Helvetica Neue" w:hAnsi="Helvetica Neue" w:cs="Helvetica Neue"/>
          <w:sz w:val="28"/>
          <w:szCs w:val="28"/>
        </w:rPr>
        <w:t>will be actively managed</w:t>
      </w:r>
      <w:proofErr w:type="gramEnd"/>
      <w:r w:rsidRPr="00ED66B9">
        <w:rPr>
          <w:rFonts w:ascii="Helvetica Neue" w:hAnsi="Helvetica Neue" w:cs="Helvetica Neue"/>
          <w:sz w:val="28"/>
          <w:szCs w:val="28"/>
        </w:rPr>
        <w:t xml:space="preserve"> to provide incremental returns relative to appropriate market benchmarks. </w:t>
      </w:r>
    </w:p>
    <w:p w14:paraId="216BB569" w14:textId="77777777" w:rsidR="00387B61" w:rsidRDefault="00387B61" w:rsidP="00ED66B9">
      <w:pPr>
        <w:rPr>
          <w:rFonts w:ascii="Helvetica Neue" w:hAnsi="Helvetica Neue" w:cs="Helvetica Neue"/>
          <w:sz w:val="28"/>
          <w:szCs w:val="28"/>
        </w:rPr>
      </w:pPr>
    </w:p>
    <w:p w14:paraId="3C1B44A0" w14:textId="77777777" w:rsidR="00ED66B9" w:rsidRPr="00387B61" w:rsidRDefault="00ED66B9" w:rsidP="00ED66B9">
      <w:pPr>
        <w:rPr>
          <w:rFonts w:ascii="Helvetica Neue" w:hAnsi="Helvetica Neue" w:cs="Helvetica Neue"/>
          <w:b/>
          <w:sz w:val="28"/>
          <w:szCs w:val="28"/>
        </w:rPr>
      </w:pPr>
      <w:r w:rsidRPr="00387B61">
        <w:rPr>
          <w:rFonts w:ascii="Helvetica Neue" w:hAnsi="Helvetica Neue" w:cs="Helvetica Neue"/>
          <w:b/>
          <w:sz w:val="28"/>
          <w:szCs w:val="28"/>
        </w:rPr>
        <w:t xml:space="preserve">Asset Types </w:t>
      </w:r>
    </w:p>
    <w:p w14:paraId="7D2492E6" w14:textId="77777777" w:rsidR="00ED66B9" w:rsidRPr="00ED66B9" w:rsidRDefault="00ED66B9" w:rsidP="00ED66B9">
      <w:pPr>
        <w:rPr>
          <w:rFonts w:ascii="Helvetica Neue" w:hAnsi="Helvetica Neue" w:cs="Helvetica Neue"/>
          <w:sz w:val="28"/>
          <w:szCs w:val="28"/>
        </w:rPr>
      </w:pPr>
      <w:r w:rsidRPr="00ED66B9">
        <w:rPr>
          <w:rFonts w:ascii="Helvetica Neue" w:hAnsi="Helvetica Neue" w:cs="Helvetica Neue"/>
          <w:sz w:val="28"/>
          <w:szCs w:val="28"/>
        </w:rPr>
        <w:t xml:space="preserve">The portfolio </w:t>
      </w:r>
      <w:proofErr w:type="gramStart"/>
      <w:r w:rsidRPr="00ED66B9">
        <w:rPr>
          <w:rFonts w:ascii="Helvetica Neue" w:hAnsi="Helvetica Neue" w:cs="Helvetica Neue"/>
          <w:sz w:val="28"/>
          <w:szCs w:val="28"/>
        </w:rPr>
        <w:t>will be managed</w:t>
      </w:r>
      <w:proofErr w:type="gramEnd"/>
      <w:r w:rsidRPr="00ED66B9">
        <w:rPr>
          <w:rFonts w:ascii="Helvetica Neue" w:hAnsi="Helvetica Neue" w:cs="Helvetica Neue"/>
          <w:sz w:val="28"/>
          <w:szCs w:val="28"/>
        </w:rPr>
        <w:t xml:space="preserve"> utilizing the following classes of assets: </w:t>
      </w:r>
    </w:p>
    <w:p w14:paraId="7F248D84" w14:textId="77777777" w:rsidR="00ED66B9" w:rsidRPr="00ED66B9" w:rsidRDefault="00ED66B9" w:rsidP="00ED66B9">
      <w:pPr>
        <w:numPr>
          <w:ilvl w:val="0"/>
          <w:numId w:val="1"/>
        </w:numPr>
        <w:rPr>
          <w:rFonts w:ascii="Helvetica Neue" w:hAnsi="Helvetica Neue" w:cs="Helvetica Neue"/>
          <w:sz w:val="28"/>
          <w:szCs w:val="28"/>
        </w:rPr>
      </w:pPr>
      <w:r w:rsidRPr="00ED66B9">
        <w:rPr>
          <w:rFonts w:ascii="Helvetica Neue" w:hAnsi="Helvetica Neue" w:cs="Helvetica Neue"/>
          <w:sz w:val="28"/>
          <w:szCs w:val="28"/>
        </w:rPr>
        <w:t xml:space="preserve">Fixed income securities and their equivalents </w:t>
      </w:r>
    </w:p>
    <w:p w14:paraId="38560CD8" w14:textId="77777777" w:rsidR="00ED66B9" w:rsidRPr="00ED66B9" w:rsidRDefault="00ED66B9" w:rsidP="00ED66B9">
      <w:pPr>
        <w:numPr>
          <w:ilvl w:val="0"/>
          <w:numId w:val="1"/>
        </w:numPr>
        <w:rPr>
          <w:rFonts w:ascii="Helvetica Neue" w:hAnsi="Helvetica Neue" w:cs="Helvetica Neue"/>
          <w:sz w:val="28"/>
          <w:szCs w:val="28"/>
        </w:rPr>
      </w:pPr>
      <w:r w:rsidRPr="00ED66B9">
        <w:rPr>
          <w:rFonts w:ascii="Helvetica Neue" w:hAnsi="Helvetica Neue" w:cs="Helvetica Neue"/>
          <w:sz w:val="28"/>
          <w:szCs w:val="28"/>
        </w:rPr>
        <w:t xml:space="preserve">Equities, commodities, and their equivalents </w:t>
      </w:r>
    </w:p>
    <w:p w14:paraId="5DCBDDF2" w14:textId="77777777" w:rsidR="00BA226B" w:rsidRDefault="00BA226B" w:rsidP="00ED66B9">
      <w:pPr>
        <w:numPr>
          <w:ilvl w:val="0"/>
          <w:numId w:val="1"/>
        </w:numPr>
        <w:rPr>
          <w:rFonts w:ascii="Helvetica Neue" w:hAnsi="Helvetica Neue" w:cs="Helvetica Neue"/>
          <w:sz w:val="28"/>
          <w:szCs w:val="28"/>
        </w:rPr>
      </w:pPr>
      <w:r>
        <w:rPr>
          <w:rFonts w:ascii="Helvetica Neue" w:hAnsi="Helvetica Neue" w:cs="Helvetica Neue"/>
          <w:sz w:val="28"/>
          <w:szCs w:val="28"/>
        </w:rPr>
        <w:t>REITs, Swaps, Convertibles and their equivalents</w:t>
      </w:r>
    </w:p>
    <w:p w14:paraId="5837991A" w14:textId="2C088465" w:rsidR="00ED66B9" w:rsidRPr="00ED66B9" w:rsidRDefault="00ED66B9" w:rsidP="00ED66B9">
      <w:pPr>
        <w:numPr>
          <w:ilvl w:val="0"/>
          <w:numId w:val="1"/>
        </w:numPr>
        <w:rPr>
          <w:rFonts w:ascii="Helvetica Neue" w:hAnsi="Helvetica Neue" w:cs="Helvetica Neue"/>
          <w:sz w:val="28"/>
          <w:szCs w:val="28"/>
        </w:rPr>
      </w:pPr>
      <w:r w:rsidRPr="00ED66B9">
        <w:rPr>
          <w:rFonts w:ascii="Helvetica Neue" w:hAnsi="Helvetica Neue" w:cs="Helvetica Neue"/>
          <w:sz w:val="28"/>
          <w:szCs w:val="28"/>
        </w:rPr>
        <w:t xml:space="preserve">Cash equivalents </w:t>
      </w:r>
    </w:p>
    <w:p w14:paraId="67F96418" w14:textId="77777777" w:rsidR="00387B61" w:rsidRDefault="00387B61" w:rsidP="00ED66B9">
      <w:pPr>
        <w:rPr>
          <w:rFonts w:ascii="Helvetica Neue" w:hAnsi="Helvetica Neue" w:cs="Helvetica Neue"/>
          <w:sz w:val="28"/>
          <w:szCs w:val="28"/>
        </w:rPr>
      </w:pPr>
    </w:p>
    <w:p w14:paraId="6581CAE7" w14:textId="77777777" w:rsidR="00ED66B9" w:rsidRPr="00387B61" w:rsidRDefault="00ED66B9" w:rsidP="00ED66B9">
      <w:pPr>
        <w:rPr>
          <w:rFonts w:ascii="Helvetica Neue" w:hAnsi="Helvetica Neue" w:cs="Helvetica Neue"/>
          <w:b/>
          <w:sz w:val="28"/>
          <w:szCs w:val="28"/>
        </w:rPr>
      </w:pPr>
      <w:r w:rsidRPr="00387B61">
        <w:rPr>
          <w:rFonts w:ascii="Helvetica Neue" w:hAnsi="Helvetica Neue" w:cs="Helvetica Neue"/>
          <w:b/>
          <w:sz w:val="28"/>
          <w:szCs w:val="28"/>
        </w:rPr>
        <w:t xml:space="preserve">Asset Allocation </w:t>
      </w:r>
    </w:p>
    <w:p w14:paraId="3F51E61F" w14:textId="1DE3F6BD" w:rsidR="00ED66B9" w:rsidRPr="00ED66B9" w:rsidRDefault="00ED66B9" w:rsidP="00ED66B9">
      <w:pPr>
        <w:rPr>
          <w:rFonts w:ascii="Helvetica Neue" w:hAnsi="Helvetica Neue" w:cs="Helvetica Neue"/>
          <w:sz w:val="28"/>
          <w:szCs w:val="28"/>
        </w:rPr>
      </w:pPr>
      <w:r w:rsidRPr="00ED66B9">
        <w:rPr>
          <w:rFonts w:ascii="Helvetica Neue" w:hAnsi="Helvetica Neue" w:cs="Helvetica Neue"/>
          <w:sz w:val="28"/>
          <w:szCs w:val="28"/>
        </w:rPr>
        <w:t xml:space="preserve">The asset structure should reflect a balance of the </w:t>
      </w:r>
      <w:r w:rsidR="004D17C9">
        <w:rPr>
          <w:rFonts w:ascii="Helvetica Neue" w:hAnsi="Helvetica Neue" w:cs="Helvetica Neue"/>
          <w:sz w:val="28"/>
          <w:szCs w:val="28"/>
        </w:rPr>
        <w:t>OPRA</w:t>
      </w:r>
      <w:r w:rsidRPr="00ED66B9">
        <w:rPr>
          <w:rFonts w:ascii="Helvetica Neue" w:hAnsi="Helvetica Neue" w:cs="Helvetica Neue"/>
          <w:sz w:val="28"/>
          <w:szCs w:val="28"/>
        </w:rPr>
        <w:t xml:space="preserve">’s need for liquidity, preservation of purchasing power and risk tolerances of the Board of Directors. The target range </w:t>
      </w:r>
      <w:r w:rsidR="00BA226B">
        <w:rPr>
          <w:rFonts w:ascii="Helvetica Neue" w:hAnsi="Helvetica Neue" w:cs="Helvetica Neue"/>
          <w:sz w:val="28"/>
          <w:szCs w:val="28"/>
        </w:rPr>
        <w:t>will vary depending on market conditions and liquidity needs.</w:t>
      </w:r>
      <w:r w:rsidRPr="00ED66B9">
        <w:rPr>
          <w:rFonts w:ascii="Helvetica Neue" w:hAnsi="Helvetica Neue" w:cs="Helvetica Neue"/>
          <w:sz w:val="28"/>
          <w:szCs w:val="28"/>
        </w:rPr>
        <w:t xml:space="preserve"> </w:t>
      </w:r>
    </w:p>
    <w:p w14:paraId="43F603CF" w14:textId="77777777" w:rsidR="00387B61" w:rsidRDefault="00387B61" w:rsidP="00ED66B9">
      <w:pPr>
        <w:rPr>
          <w:rFonts w:ascii="Helvetica Neue" w:hAnsi="Helvetica Neue" w:cs="Helvetica Neue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6"/>
        <w:gridCol w:w="2873"/>
        <w:gridCol w:w="2871"/>
      </w:tblGrid>
      <w:tr w:rsidR="00387B61" w14:paraId="05D2252C" w14:textId="77777777" w:rsidTr="00387B61">
        <w:tc>
          <w:tcPr>
            <w:tcW w:w="2952" w:type="dxa"/>
          </w:tcPr>
          <w:p w14:paraId="4FFD0027" w14:textId="77777777" w:rsidR="00387B61" w:rsidRDefault="00387B61" w:rsidP="00ED66B9">
            <w:pPr>
              <w:rPr>
                <w:rFonts w:ascii="Helvetica Neue" w:hAnsi="Helvetica Neue" w:cs="Helvetica Neue"/>
                <w:sz w:val="28"/>
                <w:szCs w:val="28"/>
              </w:rPr>
            </w:pPr>
          </w:p>
        </w:tc>
        <w:tc>
          <w:tcPr>
            <w:tcW w:w="2952" w:type="dxa"/>
          </w:tcPr>
          <w:p w14:paraId="37FBBDD9" w14:textId="77777777" w:rsidR="00387B61" w:rsidRDefault="00387B61" w:rsidP="00ED66B9">
            <w:pPr>
              <w:rPr>
                <w:rFonts w:ascii="Helvetica Neue" w:hAnsi="Helvetica Neue" w:cs="Helvetica Neue"/>
                <w:sz w:val="28"/>
                <w:szCs w:val="28"/>
              </w:rPr>
            </w:pPr>
            <w:r>
              <w:rPr>
                <w:rFonts w:ascii="Helvetica Neue" w:hAnsi="Helvetica Neue" w:cs="Helvetica Neue"/>
                <w:sz w:val="28"/>
                <w:szCs w:val="28"/>
              </w:rPr>
              <w:t>High</w:t>
            </w:r>
          </w:p>
        </w:tc>
        <w:tc>
          <w:tcPr>
            <w:tcW w:w="2952" w:type="dxa"/>
          </w:tcPr>
          <w:p w14:paraId="4FAEF3F7" w14:textId="77777777" w:rsidR="00387B61" w:rsidRDefault="00387B61" w:rsidP="00ED66B9">
            <w:pPr>
              <w:rPr>
                <w:rFonts w:ascii="Helvetica Neue" w:hAnsi="Helvetica Neue" w:cs="Helvetica Neue"/>
                <w:sz w:val="28"/>
                <w:szCs w:val="28"/>
              </w:rPr>
            </w:pPr>
            <w:r>
              <w:rPr>
                <w:rFonts w:ascii="Helvetica Neue" w:hAnsi="Helvetica Neue" w:cs="Helvetica Neue"/>
                <w:sz w:val="28"/>
                <w:szCs w:val="28"/>
              </w:rPr>
              <w:t>Low</w:t>
            </w:r>
          </w:p>
        </w:tc>
      </w:tr>
      <w:tr w:rsidR="00387B61" w14:paraId="2DE1A2D9" w14:textId="77777777" w:rsidTr="00387B61">
        <w:tc>
          <w:tcPr>
            <w:tcW w:w="2952" w:type="dxa"/>
          </w:tcPr>
          <w:p w14:paraId="69E8C5AD" w14:textId="77777777" w:rsidR="00387B61" w:rsidRDefault="00387B61" w:rsidP="00ED66B9">
            <w:pPr>
              <w:rPr>
                <w:rFonts w:ascii="Helvetica Neue" w:hAnsi="Helvetica Neue" w:cs="Helvetica Neue"/>
                <w:sz w:val="28"/>
                <w:szCs w:val="28"/>
              </w:rPr>
            </w:pPr>
            <w:r>
              <w:rPr>
                <w:rFonts w:ascii="Helvetica Neue" w:hAnsi="Helvetica Neue" w:cs="Helvetica Neue"/>
                <w:sz w:val="28"/>
                <w:szCs w:val="28"/>
              </w:rPr>
              <w:t>Equities</w:t>
            </w:r>
          </w:p>
        </w:tc>
        <w:tc>
          <w:tcPr>
            <w:tcW w:w="2952" w:type="dxa"/>
          </w:tcPr>
          <w:p w14:paraId="21F45CA2" w14:textId="5E6EC4C6" w:rsidR="00387B61" w:rsidRDefault="00BA226B" w:rsidP="00ED66B9">
            <w:pPr>
              <w:rPr>
                <w:rFonts w:ascii="Helvetica Neue" w:hAnsi="Helvetica Neue" w:cs="Helvetica Neue"/>
                <w:sz w:val="28"/>
                <w:szCs w:val="28"/>
              </w:rPr>
            </w:pPr>
            <w:r>
              <w:rPr>
                <w:rFonts w:ascii="Helvetica Neue" w:hAnsi="Helvetica Neue" w:cs="Helvetica Neue"/>
                <w:sz w:val="28"/>
                <w:szCs w:val="28"/>
              </w:rPr>
              <w:t>5</w:t>
            </w:r>
            <w:r w:rsidR="00387B61">
              <w:rPr>
                <w:rFonts w:ascii="Helvetica Neue" w:hAnsi="Helvetica Neue" w:cs="Helvetica Neue"/>
                <w:sz w:val="28"/>
                <w:szCs w:val="28"/>
              </w:rPr>
              <w:t>0%</w:t>
            </w:r>
          </w:p>
        </w:tc>
        <w:tc>
          <w:tcPr>
            <w:tcW w:w="2952" w:type="dxa"/>
          </w:tcPr>
          <w:p w14:paraId="36928413" w14:textId="20FA9E2B" w:rsidR="00387B61" w:rsidRDefault="00BA226B" w:rsidP="00ED66B9">
            <w:pPr>
              <w:rPr>
                <w:rFonts w:ascii="Helvetica Neue" w:hAnsi="Helvetica Neue" w:cs="Helvetica Neue"/>
                <w:sz w:val="28"/>
                <w:szCs w:val="28"/>
              </w:rPr>
            </w:pPr>
            <w:r>
              <w:rPr>
                <w:rFonts w:ascii="Helvetica Neue" w:hAnsi="Helvetica Neue" w:cs="Helvetica Neue"/>
                <w:sz w:val="28"/>
                <w:szCs w:val="28"/>
              </w:rPr>
              <w:t>1</w:t>
            </w:r>
            <w:r w:rsidR="00387B61">
              <w:rPr>
                <w:rFonts w:ascii="Helvetica Neue" w:hAnsi="Helvetica Neue" w:cs="Helvetica Neue"/>
                <w:sz w:val="28"/>
                <w:szCs w:val="28"/>
              </w:rPr>
              <w:t>5%</w:t>
            </w:r>
          </w:p>
        </w:tc>
      </w:tr>
      <w:tr w:rsidR="00387B61" w14:paraId="0DB822A1" w14:textId="77777777" w:rsidTr="00387B61">
        <w:tc>
          <w:tcPr>
            <w:tcW w:w="2952" w:type="dxa"/>
          </w:tcPr>
          <w:p w14:paraId="44311F6C" w14:textId="77777777" w:rsidR="00387B61" w:rsidRDefault="00387B61" w:rsidP="00ED66B9">
            <w:pPr>
              <w:rPr>
                <w:rFonts w:ascii="Helvetica Neue" w:hAnsi="Helvetica Neue" w:cs="Helvetica Neue"/>
                <w:sz w:val="28"/>
                <w:szCs w:val="28"/>
              </w:rPr>
            </w:pPr>
            <w:r>
              <w:rPr>
                <w:rFonts w:ascii="Helvetica Neue" w:hAnsi="Helvetica Neue" w:cs="Helvetica Neue"/>
                <w:sz w:val="28"/>
                <w:szCs w:val="28"/>
              </w:rPr>
              <w:t>Fixed Income</w:t>
            </w:r>
          </w:p>
        </w:tc>
        <w:tc>
          <w:tcPr>
            <w:tcW w:w="2952" w:type="dxa"/>
          </w:tcPr>
          <w:p w14:paraId="2B8F3BBE" w14:textId="3138C39D" w:rsidR="00387B61" w:rsidRDefault="00BA226B" w:rsidP="00ED66B9">
            <w:pPr>
              <w:rPr>
                <w:rFonts w:ascii="Helvetica Neue" w:hAnsi="Helvetica Neue" w:cs="Helvetica Neue"/>
                <w:sz w:val="28"/>
                <w:szCs w:val="28"/>
              </w:rPr>
            </w:pPr>
            <w:r>
              <w:rPr>
                <w:rFonts w:ascii="Helvetica Neue" w:hAnsi="Helvetica Neue" w:cs="Helvetica Neue"/>
                <w:sz w:val="28"/>
                <w:szCs w:val="28"/>
              </w:rPr>
              <w:t>85</w:t>
            </w:r>
            <w:r w:rsidR="00387B61">
              <w:rPr>
                <w:rFonts w:ascii="Helvetica Neue" w:hAnsi="Helvetica Neue" w:cs="Helvetica Neue"/>
                <w:sz w:val="28"/>
                <w:szCs w:val="28"/>
              </w:rPr>
              <w:t>%</w:t>
            </w:r>
          </w:p>
        </w:tc>
        <w:tc>
          <w:tcPr>
            <w:tcW w:w="2952" w:type="dxa"/>
          </w:tcPr>
          <w:p w14:paraId="30F3A2C5" w14:textId="68FC54BC" w:rsidR="00387B61" w:rsidRDefault="00BA226B" w:rsidP="00ED66B9">
            <w:pPr>
              <w:rPr>
                <w:rFonts w:ascii="Helvetica Neue" w:hAnsi="Helvetica Neue" w:cs="Helvetica Neue"/>
                <w:sz w:val="28"/>
                <w:szCs w:val="28"/>
              </w:rPr>
            </w:pPr>
            <w:r>
              <w:rPr>
                <w:rFonts w:ascii="Helvetica Neue" w:hAnsi="Helvetica Neue" w:cs="Helvetica Neue"/>
                <w:sz w:val="28"/>
                <w:szCs w:val="28"/>
              </w:rPr>
              <w:t>5</w:t>
            </w:r>
            <w:r w:rsidR="00387B61">
              <w:rPr>
                <w:rFonts w:ascii="Helvetica Neue" w:hAnsi="Helvetica Neue" w:cs="Helvetica Neue"/>
                <w:sz w:val="28"/>
                <w:szCs w:val="28"/>
              </w:rPr>
              <w:t>0%</w:t>
            </w:r>
          </w:p>
        </w:tc>
      </w:tr>
      <w:tr w:rsidR="00387B61" w14:paraId="34D7244D" w14:textId="77777777" w:rsidTr="00387B61">
        <w:tc>
          <w:tcPr>
            <w:tcW w:w="2952" w:type="dxa"/>
          </w:tcPr>
          <w:p w14:paraId="6C1543C4" w14:textId="77777777" w:rsidR="00387B61" w:rsidRDefault="00387B61" w:rsidP="00ED66B9">
            <w:pPr>
              <w:rPr>
                <w:rFonts w:ascii="Helvetica Neue" w:hAnsi="Helvetica Neue" w:cs="Helvetica Neue"/>
                <w:sz w:val="28"/>
                <w:szCs w:val="28"/>
              </w:rPr>
            </w:pPr>
            <w:r>
              <w:rPr>
                <w:rFonts w:ascii="Helvetica Neue" w:hAnsi="Helvetica Neue" w:cs="Helvetica Neue"/>
                <w:sz w:val="28"/>
                <w:szCs w:val="28"/>
              </w:rPr>
              <w:t>Cash</w:t>
            </w:r>
          </w:p>
        </w:tc>
        <w:tc>
          <w:tcPr>
            <w:tcW w:w="2952" w:type="dxa"/>
          </w:tcPr>
          <w:p w14:paraId="06D5A8C6" w14:textId="7574E192" w:rsidR="00387B61" w:rsidRDefault="00BA226B" w:rsidP="00ED66B9">
            <w:pPr>
              <w:rPr>
                <w:rFonts w:ascii="Helvetica Neue" w:hAnsi="Helvetica Neue" w:cs="Helvetica Neue"/>
                <w:sz w:val="28"/>
                <w:szCs w:val="28"/>
              </w:rPr>
            </w:pPr>
            <w:r>
              <w:rPr>
                <w:rFonts w:ascii="Helvetica Neue" w:hAnsi="Helvetica Neue" w:cs="Helvetica Neue"/>
                <w:sz w:val="28"/>
                <w:szCs w:val="28"/>
              </w:rPr>
              <w:t>1</w:t>
            </w:r>
            <w:r w:rsidR="00387B61">
              <w:rPr>
                <w:rFonts w:ascii="Helvetica Neue" w:hAnsi="Helvetica Neue" w:cs="Helvetica Neue"/>
                <w:sz w:val="28"/>
                <w:szCs w:val="28"/>
              </w:rPr>
              <w:t>5%</w:t>
            </w:r>
          </w:p>
        </w:tc>
        <w:tc>
          <w:tcPr>
            <w:tcW w:w="2952" w:type="dxa"/>
          </w:tcPr>
          <w:p w14:paraId="4DB85D11" w14:textId="77777777" w:rsidR="00387B61" w:rsidRDefault="00387B61" w:rsidP="00ED66B9">
            <w:pPr>
              <w:rPr>
                <w:rFonts w:ascii="Helvetica Neue" w:hAnsi="Helvetica Neue" w:cs="Helvetica Neue"/>
                <w:sz w:val="28"/>
                <w:szCs w:val="28"/>
              </w:rPr>
            </w:pPr>
            <w:r>
              <w:rPr>
                <w:rFonts w:ascii="Helvetica Neue" w:hAnsi="Helvetica Neue" w:cs="Helvetica Neue"/>
                <w:sz w:val="28"/>
                <w:szCs w:val="28"/>
              </w:rPr>
              <w:t>5%</w:t>
            </w:r>
          </w:p>
        </w:tc>
      </w:tr>
    </w:tbl>
    <w:p w14:paraId="3C98709E" w14:textId="77777777" w:rsidR="00387B61" w:rsidRDefault="00387B61" w:rsidP="00ED66B9">
      <w:pPr>
        <w:rPr>
          <w:rFonts w:ascii="Helvetica Neue" w:hAnsi="Helvetica Neue" w:cs="Helvetica Neue"/>
          <w:sz w:val="28"/>
          <w:szCs w:val="28"/>
        </w:rPr>
      </w:pPr>
    </w:p>
    <w:p w14:paraId="13C779B0" w14:textId="7B971C2C" w:rsidR="00ED66B9" w:rsidRDefault="00ED66B9" w:rsidP="00ED66B9">
      <w:pPr>
        <w:rPr>
          <w:rFonts w:ascii="Helvetica Neue" w:hAnsi="Helvetica Neue" w:cs="Helvetica Neue"/>
          <w:sz w:val="28"/>
          <w:szCs w:val="28"/>
        </w:rPr>
      </w:pPr>
      <w:r w:rsidRPr="00ED66B9">
        <w:rPr>
          <w:rFonts w:ascii="Helvetica Neue" w:hAnsi="Helvetica Neue" w:cs="Helvetica Neue"/>
          <w:sz w:val="28"/>
          <w:szCs w:val="28"/>
        </w:rPr>
        <w:lastRenderedPageBreak/>
        <w:t>A balanced investment strategy</w:t>
      </w:r>
      <w:r w:rsidR="006921E9">
        <w:rPr>
          <w:rFonts w:ascii="Helvetica Neue" w:hAnsi="Helvetica Neue" w:cs="Helvetica Neue"/>
          <w:sz w:val="28"/>
          <w:szCs w:val="28"/>
        </w:rPr>
        <w:t xml:space="preserve"> </w:t>
      </w:r>
      <w:proofErr w:type="gramStart"/>
      <w:r w:rsidR="006921E9">
        <w:rPr>
          <w:rFonts w:ascii="Helvetica Neue" w:hAnsi="Helvetica Neue" w:cs="Helvetica Neue"/>
          <w:sz w:val="28"/>
          <w:szCs w:val="28"/>
        </w:rPr>
        <w:t>should</w:t>
      </w:r>
      <w:r w:rsidRPr="00ED66B9">
        <w:rPr>
          <w:rFonts w:ascii="Helvetica Neue" w:hAnsi="Helvetica Neue" w:cs="Helvetica Neue"/>
          <w:sz w:val="28"/>
          <w:szCs w:val="28"/>
        </w:rPr>
        <w:t xml:space="preserve"> </w:t>
      </w:r>
      <w:r w:rsidR="006921E9">
        <w:rPr>
          <w:rFonts w:ascii="Helvetica Neue" w:hAnsi="Helvetica Neue" w:cs="Helvetica Neue"/>
          <w:sz w:val="28"/>
          <w:szCs w:val="28"/>
        </w:rPr>
        <w:t>primarily be used</w:t>
      </w:r>
      <w:proofErr w:type="gramEnd"/>
      <w:r w:rsidR="006921E9">
        <w:rPr>
          <w:rFonts w:ascii="Helvetica Neue" w:hAnsi="Helvetica Neue" w:cs="Helvetica Neue"/>
          <w:sz w:val="28"/>
          <w:szCs w:val="28"/>
        </w:rPr>
        <w:t xml:space="preserve"> in normal market conditions.  This investment</w:t>
      </w:r>
      <w:r w:rsidRPr="00ED66B9">
        <w:rPr>
          <w:rFonts w:ascii="Helvetica Neue" w:hAnsi="Helvetica Neue" w:cs="Helvetica Neue"/>
          <w:sz w:val="28"/>
          <w:szCs w:val="28"/>
        </w:rPr>
        <w:t xml:space="preserve"> strategy would be </w:t>
      </w:r>
      <w:r w:rsidR="006921E9">
        <w:rPr>
          <w:rFonts w:ascii="Helvetica Neue" w:hAnsi="Helvetica Neue" w:cs="Helvetica Neue"/>
          <w:sz w:val="28"/>
          <w:szCs w:val="28"/>
        </w:rPr>
        <w:t>45</w:t>
      </w:r>
      <w:r w:rsidRPr="00ED66B9">
        <w:rPr>
          <w:rFonts w:ascii="Helvetica Neue" w:hAnsi="Helvetica Neue" w:cs="Helvetica Neue"/>
          <w:sz w:val="28"/>
          <w:szCs w:val="28"/>
        </w:rPr>
        <w:t xml:space="preserve">% equities, </w:t>
      </w:r>
      <w:r w:rsidR="006921E9">
        <w:rPr>
          <w:rFonts w:ascii="Helvetica Neue" w:hAnsi="Helvetica Neue" w:cs="Helvetica Neue"/>
          <w:sz w:val="28"/>
          <w:szCs w:val="28"/>
        </w:rPr>
        <w:t>50</w:t>
      </w:r>
      <w:r w:rsidRPr="00ED66B9">
        <w:rPr>
          <w:rFonts w:ascii="Helvetica Neue" w:hAnsi="Helvetica Neue" w:cs="Helvetica Neue"/>
          <w:sz w:val="28"/>
          <w:szCs w:val="28"/>
        </w:rPr>
        <w:t xml:space="preserve">% fixed income, and 5% cash equivalents. </w:t>
      </w:r>
      <w:r w:rsidR="006921E9">
        <w:rPr>
          <w:rFonts w:ascii="Helvetica Neue" w:hAnsi="Helvetica Neue" w:cs="Helvetica Neue"/>
          <w:sz w:val="28"/>
          <w:szCs w:val="28"/>
        </w:rPr>
        <w:t xml:space="preserve">An aggressive strategy may be taken with approval.  This would be implemented based on market conditions or if liquidity </w:t>
      </w:r>
      <w:proofErr w:type="gramStart"/>
      <w:r w:rsidR="006921E9">
        <w:rPr>
          <w:rFonts w:ascii="Helvetica Neue" w:hAnsi="Helvetica Neue" w:cs="Helvetica Neue"/>
          <w:sz w:val="28"/>
          <w:szCs w:val="28"/>
        </w:rPr>
        <w:t>needs</w:t>
      </w:r>
      <w:proofErr w:type="gramEnd"/>
      <w:r w:rsidR="006921E9">
        <w:rPr>
          <w:rFonts w:ascii="Helvetica Neue" w:hAnsi="Helvetica Neue" w:cs="Helvetica Neue"/>
          <w:sz w:val="28"/>
          <w:szCs w:val="28"/>
        </w:rPr>
        <w:t xml:space="preserve"> are more known and definitive.  An aggressive strategy for OPRA accounts would be 65% equities, 30% fixed income, and 5% cash equivalents.  </w:t>
      </w:r>
      <w:r w:rsidRPr="00ED66B9">
        <w:rPr>
          <w:rFonts w:ascii="Helvetica Neue" w:hAnsi="Helvetica Neue" w:cs="Helvetica Neue"/>
          <w:sz w:val="28"/>
          <w:szCs w:val="28"/>
        </w:rPr>
        <w:t xml:space="preserve">A conservative strategy </w:t>
      </w:r>
      <w:proofErr w:type="gramStart"/>
      <w:r w:rsidR="006921E9">
        <w:rPr>
          <w:rFonts w:ascii="Helvetica Neue" w:hAnsi="Helvetica Neue" w:cs="Helvetica Neue"/>
          <w:sz w:val="28"/>
          <w:szCs w:val="28"/>
        </w:rPr>
        <w:t>may also be taken</w:t>
      </w:r>
      <w:proofErr w:type="gramEnd"/>
      <w:r w:rsidR="006921E9">
        <w:rPr>
          <w:rFonts w:ascii="Helvetica Neue" w:hAnsi="Helvetica Neue" w:cs="Helvetica Neue"/>
          <w:sz w:val="28"/>
          <w:szCs w:val="28"/>
        </w:rPr>
        <w:t xml:space="preserve"> with approval.  A conservative strategy for OPRA accounts </w:t>
      </w:r>
      <w:r w:rsidRPr="00ED66B9">
        <w:rPr>
          <w:rFonts w:ascii="Helvetica Neue" w:hAnsi="Helvetica Neue" w:cs="Helvetica Neue"/>
          <w:sz w:val="28"/>
          <w:szCs w:val="28"/>
        </w:rPr>
        <w:t xml:space="preserve">would be </w:t>
      </w:r>
      <w:r w:rsidR="006921E9">
        <w:rPr>
          <w:rFonts w:ascii="Helvetica Neue" w:hAnsi="Helvetica Neue" w:cs="Helvetica Neue"/>
          <w:sz w:val="28"/>
          <w:szCs w:val="28"/>
        </w:rPr>
        <w:t>20</w:t>
      </w:r>
      <w:r w:rsidRPr="00ED66B9">
        <w:rPr>
          <w:rFonts w:ascii="Helvetica Neue" w:hAnsi="Helvetica Neue" w:cs="Helvetica Neue"/>
          <w:sz w:val="28"/>
          <w:szCs w:val="28"/>
        </w:rPr>
        <w:t xml:space="preserve">% equities, </w:t>
      </w:r>
      <w:r w:rsidR="006921E9">
        <w:rPr>
          <w:rFonts w:ascii="Helvetica Neue" w:hAnsi="Helvetica Neue" w:cs="Helvetica Neue"/>
          <w:sz w:val="28"/>
          <w:szCs w:val="28"/>
        </w:rPr>
        <w:t>6</w:t>
      </w:r>
      <w:r w:rsidRPr="00ED66B9">
        <w:rPr>
          <w:rFonts w:ascii="Helvetica Neue" w:hAnsi="Helvetica Neue" w:cs="Helvetica Neue"/>
          <w:sz w:val="28"/>
          <w:szCs w:val="28"/>
        </w:rPr>
        <w:t>0% fixed income, and 2</w:t>
      </w:r>
      <w:r w:rsidR="006921E9">
        <w:rPr>
          <w:rFonts w:ascii="Helvetica Neue" w:hAnsi="Helvetica Neue" w:cs="Helvetica Neue"/>
          <w:sz w:val="28"/>
          <w:szCs w:val="28"/>
        </w:rPr>
        <w:t>0</w:t>
      </w:r>
      <w:r w:rsidRPr="00ED66B9">
        <w:rPr>
          <w:rFonts w:ascii="Helvetica Neue" w:hAnsi="Helvetica Neue" w:cs="Helvetica Neue"/>
          <w:sz w:val="28"/>
          <w:szCs w:val="28"/>
        </w:rPr>
        <w:t xml:space="preserve">% cash equivalents. </w:t>
      </w:r>
      <w:r w:rsidR="006921E9">
        <w:rPr>
          <w:rFonts w:ascii="Helvetica Neue" w:hAnsi="Helvetica Neue" w:cs="Helvetica Neue"/>
          <w:sz w:val="28"/>
          <w:szCs w:val="28"/>
        </w:rPr>
        <w:t xml:space="preserve">Deviations from the strategy are acceptable within the range, but accounts </w:t>
      </w:r>
      <w:proofErr w:type="gramStart"/>
      <w:r w:rsidR="006921E9">
        <w:rPr>
          <w:rFonts w:ascii="Helvetica Neue" w:hAnsi="Helvetica Neue" w:cs="Helvetica Neue"/>
          <w:sz w:val="28"/>
          <w:szCs w:val="28"/>
        </w:rPr>
        <w:t>should be rebalanced</w:t>
      </w:r>
      <w:proofErr w:type="gramEnd"/>
      <w:r w:rsidR="006921E9">
        <w:rPr>
          <w:rFonts w:ascii="Helvetica Neue" w:hAnsi="Helvetica Neue" w:cs="Helvetica Neue"/>
          <w:sz w:val="28"/>
          <w:szCs w:val="28"/>
        </w:rPr>
        <w:t xml:space="preserve"> on a quarterly basis to move back into a more accurate allocation.  </w:t>
      </w:r>
      <w:r w:rsidRPr="00ED66B9">
        <w:rPr>
          <w:rFonts w:ascii="Helvetica Neue" w:hAnsi="Helvetica Neue" w:cs="Helvetica Neue"/>
          <w:sz w:val="28"/>
          <w:szCs w:val="28"/>
        </w:rPr>
        <w:t xml:space="preserve">All fees for professional services and trust arrangements </w:t>
      </w:r>
      <w:proofErr w:type="gramStart"/>
      <w:r w:rsidRPr="00ED66B9">
        <w:rPr>
          <w:rFonts w:ascii="Helvetica Neue" w:hAnsi="Helvetica Neue" w:cs="Helvetica Neue"/>
          <w:sz w:val="28"/>
          <w:szCs w:val="28"/>
        </w:rPr>
        <w:t>shall be charged</w:t>
      </w:r>
      <w:proofErr w:type="gramEnd"/>
      <w:r w:rsidRPr="00ED66B9">
        <w:rPr>
          <w:rFonts w:ascii="Helvetica Neue" w:hAnsi="Helvetica Neue" w:cs="Helvetica Neue"/>
          <w:sz w:val="28"/>
          <w:szCs w:val="28"/>
        </w:rPr>
        <w:t xml:space="preserve"> against the appropriate investment. Fees </w:t>
      </w:r>
      <w:proofErr w:type="gramStart"/>
      <w:r w:rsidRPr="00ED66B9">
        <w:rPr>
          <w:rFonts w:ascii="Helvetica Neue" w:hAnsi="Helvetica Neue" w:cs="Helvetica Neue"/>
          <w:sz w:val="28"/>
          <w:szCs w:val="28"/>
        </w:rPr>
        <w:t>should be minimized</w:t>
      </w:r>
      <w:proofErr w:type="gramEnd"/>
      <w:r w:rsidRPr="00ED66B9">
        <w:rPr>
          <w:rFonts w:ascii="Helvetica Neue" w:hAnsi="Helvetica Neue" w:cs="Helvetica Neue"/>
          <w:sz w:val="28"/>
          <w:szCs w:val="28"/>
        </w:rPr>
        <w:t xml:space="preserve">. </w:t>
      </w:r>
      <w:r w:rsidR="006921E9">
        <w:rPr>
          <w:rFonts w:ascii="Helvetica Neue" w:hAnsi="Helvetica Neue" w:cs="Helvetica Neue"/>
          <w:sz w:val="28"/>
          <w:szCs w:val="28"/>
        </w:rPr>
        <w:t xml:space="preserve"> </w:t>
      </w:r>
      <w:r w:rsidRPr="00ED66B9">
        <w:rPr>
          <w:rFonts w:ascii="Helvetica Neue" w:hAnsi="Helvetica Neue" w:cs="Helvetica Neue"/>
          <w:sz w:val="28"/>
          <w:szCs w:val="28"/>
        </w:rPr>
        <w:t xml:space="preserve">In determining the total investment portfolio, dollar value funds in the Association’s checking account shall not be included. </w:t>
      </w:r>
    </w:p>
    <w:p w14:paraId="6693FF32" w14:textId="77777777" w:rsidR="00387B61" w:rsidRPr="00ED66B9" w:rsidRDefault="00387B61" w:rsidP="00ED66B9">
      <w:pPr>
        <w:rPr>
          <w:rFonts w:ascii="Helvetica Neue" w:hAnsi="Helvetica Neue" w:cs="Helvetica Neue"/>
          <w:sz w:val="28"/>
          <w:szCs w:val="28"/>
        </w:rPr>
      </w:pPr>
    </w:p>
    <w:p w14:paraId="56B20C16" w14:textId="77777777" w:rsidR="00ED66B9" w:rsidRPr="00387B61" w:rsidRDefault="00ED66B9" w:rsidP="00ED66B9">
      <w:pPr>
        <w:rPr>
          <w:rFonts w:ascii="Helvetica Neue" w:hAnsi="Helvetica Neue" w:cs="Helvetica Neue"/>
          <w:b/>
          <w:sz w:val="28"/>
          <w:szCs w:val="28"/>
        </w:rPr>
      </w:pPr>
      <w:r w:rsidRPr="00387B61">
        <w:rPr>
          <w:rFonts w:ascii="Helvetica Neue" w:hAnsi="Helvetica Neue" w:cs="Helvetica Neue"/>
          <w:b/>
          <w:sz w:val="28"/>
          <w:szCs w:val="28"/>
        </w:rPr>
        <w:t xml:space="preserve">Prohibited Investments </w:t>
      </w:r>
    </w:p>
    <w:p w14:paraId="0786898D" w14:textId="77777777" w:rsidR="00ED66B9" w:rsidRPr="00ED66B9" w:rsidRDefault="00ED66B9" w:rsidP="00ED66B9">
      <w:pPr>
        <w:numPr>
          <w:ilvl w:val="0"/>
          <w:numId w:val="2"/>
        </w:numPr>
        <w:rPr>
          <w:rFonts w:ascii="Helvetica Neue" w:hAnsi="Helvetica Neue" w:cs="Helvetica Neue"/>
          <w:sz w:val="28"/>
          <w:szCs w:val="28"/>
        </w:rPr>
      </w:pPr>
      <w:r w:rsidRPr="00ED66B9">
        <w:rPr>
          <w:rFonts w:ascii="Helvetica Neue" w:hAnsi="Helvetica Neue" w:cs="Helvetica Neue"/>
          <w:sz w:val="28"/>
          <w:szCs w:val="28"/>
        </w:rPr>
        <w:t xml:space="preserve">Direct investments in derivatives and individual hedging instruments (with the exception of market neutral and structured investments) </w:t>
      </w:r>
    </w:p>
    <w:p w14:paraId="4F57ACBB" w14:textId="77777777" w:rsidR="00ED66B9" w:rsidRPr="00ED66B9" w:rsidRDefault="00ED66B9" w:rsidP="00ED66B9">
      <w:pPr>
        <w:numPr>
          <w:ilvl w:val="0"/>
          <w:numId w:val="2"/>
        </w:numPr>
        <w:rPr>
          <w:rFonts w:ascii="Helvetica Neue" w:hAnsi="Helvetica Neue" w:cs="Helvetica Neue"/>
          <w:sz w:val="28"/>
          <w:szCs w:val="28"/>
        </w:rPr>
      </w:pPr>
      <w:r w:rsidRPr="00ED66B9">
        <w:rPr>
          <w:rFonts w:ascii="Helvetica Neue" w:hAnsi="Helvetica Neue" w:cs="Helvetica Neue"/>
          <w:sz w:val="28"/>
          <w:szCs w:val="28"/>
        </w:rPr>
        <w:t xml:space="preserve">Hedge Funds that </w:t>
      </w:r>
      <w:proofErr w:type="gramStart"/>
      <w:r w:rsidRPr="00ED66B9">
        <w:rPr>
          <w:rFonts w:ascii="Helvetica Neue" w:hAnsi="Helvetica Neue" w:cs="Helvetica Neue"/>
          <w:sz w:val="28"/>
          <w:szCs w:val="28"/>
        </w:rPr>
        <w:t>are projected</w:t>
      </w:r>
      <w:proofErr w:type="gramEnd"/>
      <w:r w:rsidRPr="00ED66B9">
        <w:rPr>
          <w:rFonts w:ascii="Helvetica Neue" w:hAnsi="Helvetica Neue" w:cs="Helvetica Neue"/>
          <w:sz w:val="28"/>
          <w:szCs w:val="28"/>
        </w:rPr>
        <w:t xml:space="preserve"> to generate unrelated business income. </w:t>
      </w:r>
    </w:p>
    <w:p w14:paraId="718A58D9" w14:textId="77777777" w:rsidR="00ED66B9" w:rsidRPr="00ED66B9" w:rsidRDefault="00ED66B9" w:rsidP="00ED66B9">
      <w:pPr>
        <w:numPr>
          <w:ilvl w:val="0"/>
          <w:numId w:val="2"/>
        </w:numPr>
        <w:rPr>
          <w:rFonts w:ascii="Helvetica Neue" w:hAnsi="Helvetica Neue" w:cs="Helvetica Neue"/>
          <w:sz w:val="28"/>
          <w:szCs w:val="28"/>
        </w:rPr>
      </w:pPr>
      <w:r w:rsidRPr="00ED66B9">
        <w:rPr>
          <w:rFonts w:ascii="Helvetica Neue" w:hAnsi="Helvetica Neue" w:cs="Helvetica Neue"/>
          <w:sz w:val="28"/>
          <w:szCs w:val="28"/>
        </w:rPr>
        <w:t xml:space="preserve">Direct Investments in Partnerships and Limited Partnerships. </w:t>
      </w:r>
    </w:p>
    <w:p w14:paraId="11285E6F" w14:textId="77777777" w:rsidR="00387B61" w:rsidRDefault="00387B61" w:rsidP="00ED66B9">
      <w:pPr>
        <w:rPr>
          <w:rFonts w:ascii="Helvetica Neue" w:hAnsi="Helvetica Neue" w:cs="Helvetica Neue"/>
          <w:sz w:val="28"/>
          <w:szCs w:val="28"/>
        </w:rPr>
      </w:pPr>
    </w:p>
    <w:p w14:paraId="54BB7FD8" w14:textId="77777777" w:rsidR="00ED66B9" w:rsidRPr="00387B61" w:rsidRDefault="00ED66B9" w:rsidP="00ED66B9">
      <w:pPr>
        <w:rPr>
          <w:rFonts w:ascii="Helvetica Neue" w:hAnsi="Helvetica Neue" w:cs="Helvetica Neue"/>
          <w:b/>
          <w:sz w:val="28"/>
          <w:szCs w:val="28"/>
        </w:rPr>
      </w:pPr>
      <w:r w:rsidRPr="00387B61">
        <w:rPr>
          <w:rFonts w:ascii="Helvetica Neue" w:hAnsi="Helvetica Neue" w:cs="Helvetica Neue"/>
          <w:b/>
          <w:sz w:val="28"/>
          <w:szCs w:val="28"/>
        </w:rPr>
        <w:t xml:space="preserve">Investment Decisions </w:t>
      </w:r>
    </w:p>
    <w:p w14:paraId="38247229" w14:textId="195F03B3" w:rsidR="00ED66B9" w:rsidRDefault="00ED66B9" w:rsidP="00ED66B9">
      <w:pPr>
        <w:rPr>
          <w:rFonts w:ascii="Helvetica Neue" w:hAnsi="Helvetica Neue" w:cs="Helvetica Neue"/>
          <w:sz w:val="28"/>
          <w:szCs w:val="28"/>
        </w:rPr>
      </w:pPr>
      <w:r w:rsidRPr="00ED66B9">
        <w:rPr>
          <w:rFonts w:ascii="Helvetica Neue" w:hAnsi="Helvetica Neue" w:cs="Helvetica Neue"/>
          <w:sz w:val="28"/>
          <w:szCs w:val="28"/>
        </w:rPr>
        <w:t xml:space="preserve">The Finance Committee will review the status of the investments and the investment strategy on an annual basis. </w:t>
      </w:r>
    </w:p>
    <w:p w14:paraId="693C6FED" w14:textId="77777777" w:rsidR="006237FB" w:rsidRDefault="006237FB" w:rsidP="00ED66B9">
      <w:pPr>
        <w:rPr>
          <w:rFonts w:ascii="Helvetica Neue" w:hAnsi="Helvetica Neue" w:cs="Helvetica Neue"/>
          <w:sz w:val="28"/>
          <w:szCs w:val="28"/>
        </w:rPr>
      </w:pPr>
    </w:p>
    <w:p w14:paraId="75C03ABC" w14:textId="52C89844" w:rsidR="00ED66B9" w:rsidRPr="00ED66B9" w:rsidRDefault="00ED66B9" w:rsidP="00ED66B9">
      <w:pPr>
        <w:rPr>
          <w:rFonts w:ascii="Helvetica Neue" w:hAnsi="Helvetica Neue" w:cs="Helvetica Neue"/>
          <w:sz w:val="28"/>
          <w:szCs w:val="28"/>
        </w:rPr>
      </w:pPr>
      <w:r w:rsidRPr="00ED66B9">
        <w:rPr>
          <w:rFonts w:ascii="Helvetica Neue" w:hAnsi="Helvetica Neue" w:cs="Helvetica Neue"/>
          <w:sz w:val="28"/>
          <w:szCs w:val="28"/>
        </w:rPr>
        <w:t>All investment decisions shall reflect and be based upon the provisions of this document</w:t>
      </w:r>
      <w:r w:rsidR="00E46675">
        <w:rPr>
          <w:rFonts w:ascii="Helvetica Neue" w:hAnsi="Helvetica Neue" w:cs="Helvetica Neue"/>
          <w:sz w:val="28"/>
          <w:szCs w:val="28"/>
        </w:rPr>
        <w:t>.</w:t>
      </w:r>
      <w:r w:rsidRPr="00ED66B9">
        <w:rPr>
          <w:rFonts w:ascii="Helvetica Neue" w:hAnsi="Helvetica Neue" w:cs="Helvetica Neue"/>
          <w:sz w:val="28"/>
          <w:szCs w:val="28"/>
        </w:rPr>
        <w:t xml:space="preserve"> </w:t>
      </w:r>
    </w:p>
    <w:p w14:paraId="6A9A379A" w14:textId="77777777" w:rsidR="00D03167" w:rsidRDefault="00D03167">
      <w:pPr>
        <w:rPr>
          <w:rFonts w:ascii="Helvetica Neue" w:hAnsi="Helvetica Neue" w:cs="Helvetica Neue"/>
          <w:sz w:val="28"/>
          <w:szCs w:val="28"/>
        </w:rPr>
      </w:pPr>
      <w:bookmarkStart w:id="0" w:name="_GoBack"/>
      <w:bookmarkEnd w:id="0"/>
    </w:p>
    <w:p w14:paraId="39541225" w14:textId="77777777" w:rsidR="006D6DC2" w:rsidRDefault="006D6DC2"/>
    <w:sectPr w:rsidR="006D6DC2" w:rsidSect="006D6DC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8A46E4"/>
    <w:multiLevelType w:val="multilevel"/>
    <w:tmpl w:val="BB9E4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8A42E1"/>
    <w:multiLevelType w:val="multilevel"/>
    <w:tmpl w:val="D8001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4F8"/>
    <w:rsid w:val="00155AB5"/>
    <w:rsid w:val="00387B61"/>
    <w:rsid w:val="004D17C9"/>
    <w:rsid w:val="006237FB"/>
    <w:rsid w:val="006921E9"/>
    <w:rsid w:val="006D6DC2"/>
    <w:rsid w:val="008554F8"/>
    <w:rsid w:val="009103F2"/>
    <w:rsid w:val="00B75B4F"/>
    <w:rsid w:val="00BA226B"/>
    <w:rsid w:val="00D03167"/>
    <w:rsid w:val="00E46675"/>
    <w:rsid w:val="00ED66B9"/>
    <w:rsid w:val="00FC6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E5E0B56"/>
  <w14:defaultImageDpi w14:val="300"/>
  <w15:docId w15:val="{7574876D-9183-4FF1-8647-5CC457526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7B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696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59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39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55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583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36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984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95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00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9A1160-E3BD-4497-BDD3-64278AB62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Ohio Trucking Association</Company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Balzer</dc:creator>
  <cp:keywords/>
  <dc:description/>
  <cp:lastModifiedBy>Pete Thompson</cp:lastModifiedBy>
  <cp:revision>6</cp:revision>
  <cp:lastPrinted>2016-03-01T14:17:00Z</cp:lastPrinted>
  <dcterms:created xsi:type="dcterms:W3CDTF">2019-06-11T15:52:00Z</dcterms:created>
  <dcterms:modified xsi:type="dcterms:W3CDTF">2019-07-02T17:45:00Z</dcterms:modified>
</cp:coreProperties>
</file>