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74FC" w14:textId="799D5EC6" w:rsidR="00036C2C" w:rsidRPr="00036C2C" w:rsidRDefault="009A4591" w:rsidP="0006472A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036C2C" w:rsidRPr="00036C2C">
        <w:rPr>
          <w:b/>
          <w:bCs/>
        </w:rPr>
        <w:t xml:space="preserve">OPRA Rate Model </w:t>
      </w:r>
      <w:r>
        <w:rPr>
          <w:b/>
          <w:bCs/>
        </w:rPr>
        <w:t>Feedback</w:t>
      </w:r>
    </w:p>
    <w:p w14:paraId="3C27B303" w14:textId="77777777" w:rsidR="00F13806" w:rsidRPr="00F13806" w:rsidRDefault="00F13806">
      <w:pPr>
        <w:rPr>
          <w:b/>
          <w:bCs/>
          <w:i/>
          <w:iCs/>
        </w:rPr>
      </w:pPr>
      <w:r w:rsidRPr="00F13806">
        <w:rPr>
          <w:b/>
          <w:bCs/>
          <w:i/>
          <w:iCs/>
        </w:rPr>
        <w:t>Context</w:t>
      </w:r>
    </w:p>
    <w:p w14:paraId="294359AC" w14:textId="7E7D21A6" w:rsidR="00F13806" w:rsidRDefault="00A93977">
      <w:r>
        <w:t>In anticipation of</w:t>
      </w:r>
      <w:r w:rsidR="00EA46D1">
        <w:t xml:space="preserve"> DODD/Deloitte’s rate model</w:t>
      </w:r>
      <w:r>
        <w:t xml:space="preserve"> work</w:t>
      </w:r>
      <w:r w:rsidR="00EA46D1">
        <w:t>, we gathered a small group of OPRA board members to consider changes to the current model.</w:t>
      </w:r>
    </w:p>
    <w:p w14:paraId="317E8D45" w14:textId="1FEFCF56" w:rsidR="0006472A" w:rsidRPr="0006472A" w:rsidRDefault="00EA46D1">
      <w:pPr>
        <w:rPr>
          <w:b/>
          <w:bCs/>
          <w:i/>
          <w:iCs/>
        </w:rPr>
      </w:pPr>
      <w:r>
        <w:rPr>
          <w:b/>
          <w:bCs/>
          <w:i/>
          <w:iCs/>
        </w:rPr>
        <w:t>Recommendations</w:t>
      </w:r>
      <w:r w:rsidR="007235A8">
        <w:rPr>
          <w:b/>
          <w:bCs/>
          <w:i/>
          <w:iCs/>
        </w:rPr>
        <w:t>: Rate Model</w:t>
      </w:r>
    </w:p>
    <w:p w14:paraId="79108DE7" w14:textId="4D5A8927" w:rsidR="00036C2C" w:rsidRDefault="00036C2C">
      <w:r>
        <w:t xml:space="preserve">Using the existing </w:t>
      </w:r>
      <w:r w:rsidRPr="0006472A">
        <w:t>HPC</w:t>
      </w:r>
      <w:r>
        <w:t xml:space="preserve"> rate model, we </w:t>
      </w:r>
      <w:r w:rsidR="00EA46D1">
        <w:t>offer</w:t>
      </w:r>
      <w:r>
        <w:t xml:space="preserve"> the following adjustments</w:t>
      </w:r>
      <w:r w:rsidR="00EA46D1">
        <w:t xml:space="preserve"> and </w:t>
      </w:r>
      <w:r>
        <w:t>considerations</w:t>
      </w:r>
      <w:r w:rsidR="0006472A">
        <w:rPr>
          <w:rStyle w:val="FootnoteReference"/>
        </w:rPr>
        <w:footnoteReference w:id="1"/>
      </w:r>
      <w:r>
        <w:t>:</w:t>
      </w:r>
    </w:p>
    <w:p w14:paraId="6F9820C2" w14:textId="2A671317" w:rsidR="00036C2C" w:rsidRDefault="00036C2C" w:rsidP="00036C2C">
      <w:pPr>
        <w:pStyle w:val="ListParagraph"/>
        <w:numPr>
          <w:ilvl w:val="0"/>
          <w:numId w:val="1"/>
        </w:numPr>
      </w:pPr>
      <w:r>
        <w:t xml:space="preserve">DSP Hourly Wage </w:t>
      </w:r>
    </w:p>
    <w:p w14:paraId="5570C1A5" w14:textId="274096D0" w:rsidR="00036C2C" w:rsidRDefault="0004371C" w:rsidP="00036C2C">
      <w:pPr>
        <w:pStyle w:val="ListParagraph"/>
        <w:numPr>
          <w:ilvl w:val="1"/>
          <w:numId w:val="1"/>
        </w:numPr>
      </w:pPr>
      <w:r>
        <w:t xml:space="preserve">Base the hourly wage on </w:t>
      </w:r>
      <w:r w:rsidR="00036C2C" w:rsidRPr="0006472A">
        <w:rPr>
          <w:b/>
          <w:bCs/>
        </w:rPr>
        <w:t>SOC category 31-0000</w:t>
      </w:r>
      <w:r w:rsidR="00036C2C">
        <w:t xml:space="preserve"> “Healthcare Support Occupations” until the new SOC for DSPs is available (2028)</w:t>
      </w:r>
      <w:r w:rsidR="00FD48AF">
        <w:t>.</w:t>
      </w:r>
    </w:p>
    <w:p w14:paraId="5307870F" w14:textId="661FAF22" w:rsidR="00036C2C" w:rsidRDefault="00AC01F4" w:rsidP="00036C2C">
      <w:pPr>
        <w:pStyle w:val="ListParagraph"/>
        <w:numPr>
          <w:ilvl w:val="1"/>
          <w:numId w:val="1"/>
        </w:numPr>
      </w:pPr>
      <w:r>
        <w:t>Beginning January 1, 2026</w:t>
      </w:r>
      <w:r w:rsidR="00036C2C">
        <w:t xml:space="preserve">, </w:t>
      </w:r>
      <w:r w:rsidR="00036C2C" w:rsidRPr="0006472A">
        <w:rPr>
          <w:b/>
          <w:bCs/>
        </w:rPr>
        <w:t xml:space="preserve">use the </w:t>
      </w:r>
      <w:r w:rsidR="001768EB" w:rsidRPr="0006472A">
        <w:rPr>
          <w:b/>
          <w:bCs/>
        </w:rPr>
        <w:t>75</w:t>
      </w:r>
      <w:r w:rsidR="001768EB" w:rsidRPr="0006472A">
        <w:rPr>
          <w:b/>
          <w:bCs/>
          <w:vertAlign w:val="superscript"/>
        </w:rPr>
        <w:t>th</w:t>
      </w:r>
      <w:r w:rsidR="001768EB" w:rsidRPr="0006472A">
        <w:rPr>
          <w:b/>
          <w:bCs/>
        </w:rPr>
        <w:t xml:space="preserve"> percentile</w:t>
      </w:r>
      <w:r w:rsidR="001768EB">
        <w:t xml:space="preserve"> for “Healthcare Support Occupations” in the “Health Care and Social Assistance” sector. </w:t>
      </w:r>
      <w:r w:rsidR="0004371C">
        <w:t xml:space="preserve">This is </w:t>
      </w:r>
      <w:r w:rsidR="007B0592">
        <w:t>like</w:t>
      </w:r>
      <w:r w:rsidR="0004371C">
        <w:t xml:space="preserve"> </w:t>
      </w:r>
      <w:r w:rsidR="007B0592">
        <w:t xml:space="preserve">the </w:t>
      </w:r>
      <w:proofErr w:type="spellStart"/>
      <w:r w:rsidR="0004371C">
        <w:t>OhioRISE</w:t>
      </w:r>
      <w:proofErr w:type="spellEnd"/>
      <w:r w:rsidR="0004371C">
        <w:t xml:space="preserve"> model</w:t>
      </w:r>
      <w:r w:rsidR="007B0592">
        <w:t xml:space="preserve"> which was designed to address workforce challenges</w:t>
      </w:r>
      <w:r w:rsidR="0004371C">
        <w:t>.</w:t>
      </w:r>
    </w:p>
    <w:p w14:paraId="4760701D" w14:textId="13E570F3" w:rsidR="001768EB" w:rsidRDefault="001768EB" w:rsidP="001768EB">
      <w:pPr>
        <w:pStyle w:val="ListParagraph"/>
        <w:numPr>
          <w:ilvl w:val="0"/>
          <w:numId w:val="1"/>
        </w:numPr>
      </w:pPr>
      <w:r>
        <w:t>Supervisor Hourly Wage</w:t>
      </w:r>
    </w:p>
    <w:p w14:paraId="1BDF8036" w14:textId="44F50053" w:rsidR="001768EB" w:rsidRDefault="00B76234" w:rsidP="001768EB">
      <w:pPr>
        <w:pStyle w:val="ListParagraph"/>
        <w:numPr>
          <w:ilvl w:val="1"/>
          <w:numId w:val="1"/>
        </w:numPr>
      </w:pPr>
      <w:r>
        <w:t>Continue basing</w:t>
      </w:r>
      <w:r w:rsidR="0004371C">
        <w:t xml:space="preserve"> the hourly wage on</w:t>
      </w:r>
      <w:r w:rsidR="001768EB">
        <w:t xml:space="preserve"> </w:t>
      </w:r>
      <w:r w:rsidR="001768EB" w:rsidRPr="0006472A">
        <w:rPr>
          <w:b/>
          <w:bCs/>
        </w:rPr>
        <w:t xml:space="preserve">SOC </w:t>
      </w:r>
      <w:r w:rsidR="0004371C" w:rsidRPr="0006472A">
        <w:rPr>
          <w:b/>
          <w:bCs/>
        </w:rPr>
        <w:t>39-1020</w:t>
      </w:r>
      <w:r w:rsidR="0004371C">
        <w:t xml:space="preserve"> </w:t>
      </w:r>
      <w:r w:rsidR="001768EB">
        <w:t>“</w:t>
      </w:r>
      <w:r w:rsidR="0004371C">
        <w:t>First-Line Supervisors of Personal Service Workers</w:t>
      </w:r>
      <w:r w:rsidR="001768EB">
        <w:t>”</w:t>
      </w:r>
      <w:r>
        <w:t>.</w:t>
      </w:r>
    </w:p>
    <w:p w14:paraId="62263F63" w14:textId="23DCB1E4" w:rsidR="00982514" w:rsidRDefault="007B0592" w:rsidP="00B76234">
      <w:pPr>
        <w:pStyle w:val="ListParagraph"/>
        <w:numPr>
          <w:ilvl w:val="1"/>
          <w:numId w:val="1"/>
        </w:numPr>
      </w:pPr>
      <w:r>
        <w:t>Beginning January 1, 2026</w:t>
      </w:r>
      <w:r w:rsidR="006A4E78">
        <w:t xml:space="preserve">, use the </w:t>
      </w:r>
      <w:r w:rsidR="006A4E78" w:rsidRPr="001A33C6">
        <w:rPr>
          <w:b/>
          <w:bCs/>
        </w:rPr>
        <w:t>75</w:t>
      </w:r>
      <w:r w:rsidR="006A4E78" w:rsidRPr="001A33C6">
        <w:rPr>
          <w:b/>
          <w:bCs/>
          <w:vertAlign w:val="superscript"/>
        </w:rPr>
        <w:t>th</w:t>
      </w:r>
      <w:r w:rsidR="006A4E78" w:rsidRPr="001A33C6">
        <w:rPr>
          <w:b/>
          <w:bCs/>
        </w:rPr>
        <w:t xml:space="preserve"> percentile</w:t>
      </w:r>
      <w:r w:rsidR="006A4E78">
        <w:t xml:space="preserve"> for </w:t>
      </w:r>
      <w:r w:rsidR="0004371C">
        <w:t xml:space="preserve">“First-Line Supervisors of Personal Service Workers” in the “Health Care and Social Assistance” sector. </w:t>
      </w:r>
      <w:r w:rsidR="00B76234">
        <w:t xml:space="preserve">This is </w:t>
      </w:r>
      <w:r>
        <w:t>like the</w:t>
      </w:r>
      <w:r w:rsidR="00B76234">
        <w:t xml:space="preserve"> </w:t>
      </w:r>
      <w:proofErr w:type="spellStart"/>
      <w:r w:rsidR="00B76234">
        <w:t>OhioRISE</w:t>
      </w:r>
      <w:proofErr w:type="spellEnd"/>
      <w:r w:rsidR="00B76234">
        <w:t xml:space="preserve"> model</w:t>
      </w:r>
      <w:r>
        <w:t xml:space="preserve"> which was designed to address workforce challenges</w:t>
      </w:r>
      <w:r w:rsidR="00B76234">
        <w:t>.</w:t>
      </w:r>
    </w:p>
    <w:p w14:paraId="6D27B2BD" w14:textId="6F89A235" w:rsidR="0004371C" w:rsidRDefault="0004371C" w:rsidP="0004371C">
      <w:pPr>
        <w:pStyle w:val="ListParagraph"/>
        <w:numPr>
          <w:ilvl w:val="0"/>
          <w:numId w:val="1"/>
        </w:numPr>
      </w:pPr>
      <w:r>
        <w:t>ERE as a Pct. of Wages</w:t>
      </w:r>
    </w:p>
    <w:p w14:paraId="17DCFF46" w14:textId="3FEAF63C" w:rsidR="0004371C" w:rsidRDefault="001A33C6" w:rsidP="0004371C">
      <w:pPr>
        <w:pStyle w:val="ListParagraph"/>
        <w:numPr>
          <w:ilvl w:val="1"/>
          <w:numId w:val="1"/>
        </w:numPr>
      </w:pPr>
      <w:r w:rsidRPr="001A33C6">
        <w:rPr>
          <w:b/>
          <w:bCs/>
        </w:rPr>
        <w:t>No changes</w:t>
      </w:r>
      <w:r>
        <w:t xml:space="preserve">. </w:t>
      </w:r>
      <w:r w:rsidR="0004371C">
        <w:t xml:space="preserve">The percent in the current rate model </w:t>
      </w:r>
      <w:r w:rsidR="0004371C" w:rsidRPr="001A33C6">
        <w:t xml:space="preserve">(30%) aligns with BLS data </w:t>
      </w:r>
      <w:r w:rsidR="0004371C">
        <w:t>on “Employer Costs for Employee Compensation”</w:t>
      </w:r>
      <w:r w:rsidR="006B2B8D">
        <w:t xml:space="preserve"> in the Health Care and Social Assistance Sector</w:t>
      </w:r>
      <w:r w:rsidR="0004371C">
        <w:t>. We should be clear where this percentage comes from in the model.</w:t>
      </w:r>
    </w:p>
    <w:p w14:paraId="11C5247D" w14:textId="12D4BB55" w:rsidR="0004371C" w:rsidRDefault="006B2B8D" w:rsidP="0004371C">
      <w:pPr>
        <w:pStyle w:val="ListParagraph"/>
        <w:numPr>
          <w:ilvl w:val="1"/>
          <w:numId w:val="1"/>
        </w:numPr>
      </w:pPr>
      <w:r>
        <w:t>Note the</w:t>
      </w:r>
      <w:r w:rsidR="0004371C">
        <w:t xml:space="preserve"> “Employer Costs for Employee Compensation” used by BLS includes:</w:t>
      </w:r>
    </w:p>
    <w:p w14:paraId="008CA0B1" w14:textId="30E77D32" w:rsidR="0004371C" w:rsidRDefault="0004371C" w:rsidP="0004371C">
      <w:pPr>
        <w:pStyle w:val="ListParagraph"/>
        <w:numPr>
          <w:ilvl w:val="2"/>
          <w:numId w:val="1"/>
        </w:numPr>
      </w:pPr>
      <w:r>
        <w:t>Paid leave</w:t>
      </w:r>
    </w:p>
    <w:p w14:paraId="02A5A1EA" w14:textId="0FB8F352" w:rsidR="0004371C" w:rsidRDefault="0004371C" w:rsidP="0004371C">
      <w:pPr>
        <w:pStyle w:val="ListParagraph"/>
        <w:numPr>
          <w:ilvl w:val="2"/>
          <w:numId w:val="1"/>
        </w:numPr>
      </w:pPr>
      <w:r>
        <w:t>Supplemental pay (overtime, shift differentials, bonuses)</w:t>
      </w:r>
    </w:p>
    <w:p w14:paraId="5B959C82" w14:textId="355C5FF5" w:rsidR="0004371C" w:rsidRDefault="0004371C" w:rsidP="0004371C">
      <w:pPr>
        <w:pStyle w:val="ListParagraph"/>
        <w:numPr>
          <w:ilvl w:val="2"/>
          <w:numId w:val="1"/>
        </w:numPr>
      </w:pPr>
      <w:r>
        <w:t>Insurance</w:t>
      </w:r>
    </w:p>
    <w:p w14:paraId="4DF09165" w14:textId="157BF514" w:rsidR="0004371C" w:rsidRDefault="0004371C" w:rsidP="0004371C">
      <w:pPr>
        <w:pStyle w:val="ListParagraph"/>
        <w:numPr>
          <w:ilvl w:val="2"/>
          <w:numId w:val="1"/>
        </w:numPr>
      </w:pPr>
      <w:r>
        <w:t>Retirement and savings</w:t>
      </w:r>
    </w:p>
    <w:p w14:paraId="73887A28" w14:textId="2F581291" w:rsidR="0004371C" w:rsidRDefault="0004371C" w:rsidP="0004371C">
      <w:pPr>
        <w:pStyle w:val="ListParagraph"/>
        <w:numPr>
          <w:ilvl w:val="2"/>
          <w:numId w:val="1"/>
        </w:numPr>
      </w:pPr>
      <w:r>
        <w:t>Legally required benefits</w:t>
      </w:r>
    </w:p>
    <w:p w14:paraId="15673F3C" w14:textId="2BA42087" w:rsidR="006B2B8D" w:rsidRDefault="006B2B8D" w:rsidP="006B2B8D">
      <w:pPr>
        <w:pStyle w:val="ListParagraph"/>
        <w:numPr>
          <w:ilvl w:val="0"/>
          <w:numId w:val="1"/>
        </w:numPr>
      </w:pPr>
      <w:r>
        <w:t>Productivity Assumptions</w:t>
      </w:r>
    </w:p>
    <w:p w14:paraId="442F26A1" w14:textId="77777777" w:rsidR="0038024D" w:rsidRDefault="006B2B8D" w:rsidP="006B2B8D">
      <w:pPr>
        <w:pStyle w:val="ListParagraph"/>
        <w:numPr>
          <w:ilvl w:val="1"/>
          <w:numId w:val="1"/>
        </w:numPr>
      </w:pPr>
      <w:r>
        <w:t xml:space="preserve">The current model underestimates “non-billable time”. </w:t>
      </w:r>
    </w:p>
    <w:p w14:paraId="2D8E6073" w14:textId="02C2EE47" w:rsidR="006B2B8D" w:rsidRDefault="0038024D" w:rsidP="0038024D">
      <w:pPr>
        <w:pStyle w:val="ListParagraph"/>
        <w:numPr>
          <w:ilvl w:val="2"/>
          <w:numId w:val="1"/>
        </w:numPr>
      </w:pPr>
      <w:r>
        <w:lastRenderedPageBreak/>
        <w:t>It does not factor in enough time for training g</w:t>
      </w:r>
      <w:r w:rsidR="006B2B8D">
        <w:t>iven t</w:t>
      </w:r>
      <w:r>
        <w:t>he range of professionals providing HPC (med admin, behavior support, etc.), mandatory and “best practice” training, and turnover rates (new employee training).</w:t>
      </w:r>
    </w:p>
    <w:p w14:paraId="6F2619A0" w14:textId="11AFA907" w:rsidR="0038024D" w:rsidRDefault="0038024D" w:rsidP="0038024D">
      <w:pPr>
        <w:pStyle w:val="ListParagraph"/>
        <w:numPr>
          <w:ilvl w:val="2"/>
          <w:numId w:val="1"/>
        </w:numPr>
      </w:pPr>
      <w:r>
        <w:t>It does not factor in enough time for “indirect” services – documentation, training on individual ISPs, staff meetings, ISP meetings, etc.</w:t>
      </w:r>
    </w:p>
    <w:p w14:paraId="089AC492" w14:textId="7ED08E42" w:rsidR="00B76234" w:rsidRDefault="0038024D" w:rsidP="00982514">
      <w:pPr>
        <w:pStyle w:val="ListParagraph"/>
        <w:numPr>
          <w:ilvl w:val="1"/>
          <w:numId w:val="1"/>
        </w:numPr>
      </w:pPr>
      <w:r>
        <w:t xml:space="preserve">We propose </w:t>
      </w:r>
      <w:r w:rsidR="00FD48AF">
        <w:t xml:space="preserve">changing the model to reflect </w:t>
      </w:r>
      <w:r w:rsidR="00B76234">
        <w:t>1 hour of “non-billable” time/day or 260 “non-billable” hours/</w:t>
      </w:r>
      <w:r w:rsidR="001A33C6">
        <w:t>year and</w:t>
      </w:r>
      <w:r w:rsidR="00B76234">
        <w:t xml:space="preserve"> </w:t>
      </w:r>
      <w:r w:rsidRPr="001A33C6">
        <w:rPr>
          <w:b/>
          <w:bCs/>
        </w:rPr>
        <w:t>increas</w:t>
      </w:r>
      <w:r w:rsidR="00FD48AF" w:rsidRPr="001A33C6">
        <w:rPr>
          <w:b/>
          <w:bCs/>
        </w:rPr>
        <w:t>es</w:t>
      </w:r>
      <w:r w:rsidRPr="001A33C6">
        <w:rPr>
          <w:b/>
          <w:bCs/>
        </w:rPr>
        <w:t xml:space="preserve"> the productivity factor to 1.</w:t>
      </w:r>
      <w:r w:rsidR="00982514" w:rsidRPr="001A33C6">
        <w:rPr>
          <w:b/>
          <w:bCs/>
        </w:rPr>
        <w:t>14</w:t>
      </w:r>
      <w:r w:rsidR="00B76234">
        <w:t xml:space="preserve">. </w:t>
      </w:r>
      <w:r w:rsidR="001A33C6">
        <w:t>Examples of non-billable time</w:t>
      </w:r>
      <w:r w:rsidR="00B76234">
        <w:t>:</w:t>
      </w:r>
    </w:p>
    <w:p w14:paraId="3D33EDA1" w14:textId="2BCF8A46" w:rsidR="00B76234" w:rsidRDefault="00B76234" w:rsidP="00B76234">
      <w:pPr>
        <w:pStyle w:val="ListParagraph"/>
        <w:numPr>
          <w:ilvl w:val="2"/>
          <w:numId w:val="1"/>
        </w:numPr>
      </w:pPr>
      <w:r>
        <w:t>Two-week orientation = 80 hours</w:t>
      </w:r>
    </w:p>
    <w:p w14:paraId="111C35F7" w14:textId="61D5D4F0" w:rsidR="00982514" w:rsidRDefault="00B76234" w:rsidP="00B76234">
      <w:pPr>
        <w:pStyle w:val="ListParagraph"/>
        <w:numPr>
          <w:ilvl w:val="2"/>
          <w:numId w:val="1"/>
        </w:numPr>
      </w:pPr>
      <w:r>
        <w:t>Daily documentation (.5 hours/day) = 130</w:t>
      </w:r>
      <w:r w:rsidR="001A33C6">
        <w:t xml:space="preserve"> hours</w:t>
      </w:r>
    </w:p>
    <w:p w14:paraId="1C49D796" w14:textId="53F32F86" w:rsidR="00B76234" w:rsidRDefault="00B76234" w:rsidP="00B76234">
      <w:pPr>
        <w:pStyle w:val="ListParagraph"/>
        <w:numPr>
          <w:ilvl w:val="2"/>
          <w:numId w:val="1"/>
        </w:numPr>
      </w:pPr>
      <w:r>
        <w:t xml:space="preserve">Staff meetings, </w:t>
      </w:r>
      <w:r w:rsidR="001A33C6">
        <w:t>team meetings, MUI investigations/conversations, etc. (.5 hours/week) = 26 hours</w:t>
      </w:r>
    </w:p>
    <w:p w14:paraId="69ECCFAE" w14:textId="2C477C33" w:rsidR="001A33C6" w:rsidRDefault="001A33C6" w:rsidP="00B76234">
      <w:pPr>
        <w:pStyle w:val="ListParagraph"/>
        <w:numPr>
          <w:ilvl w:val="2"/>
          <w:numId w:val="1"/>
        </w:numPr>
      </w:pPr>
      <w:r>
        <w:t xml:space="preserve">Training on ISPs, </w:t>
      </w:r>
      <w:r w:rsidR="00F9450F">
        <w:t xml:space="preserve">annual CPR, </w:t>
      </w:r>
      <w:r>
        <w:t>med admin</w:t>
      </w:r>
      <w:r w:rsidR="00F9450F">
        <w:t xml:space="preserve"> (new vs. renewal)</w:t>
      </w:r>
      <w:r>
        <w:t>, behavior support, professional development (.5 hours/week) = 26 hours</w:t>
      </w:r>
    </w:p>
    <w:p w14:paraId="54ACAA10" w14:textId="75D8DCC0" w:rsidR="001A33C6" w:rsidRDefault="001A33C6" w:rsidP="00B76234">
      <w:pPr>
        <w:pStyle w:val="ListParagraph"/>
        <w:numPr>
          <w:ilvl w:val="2"/>
          <w:numId w:val="1"/>
        </w:numPr>
      </w:pPr>
      <w:r>
        <w:t>Travel time between clients/locations (.5 hours/day) = 130 hours</w:t>
      </w:r>
    </w:p>
    <w:p w14:paraId="33527ABA" w14:textId="4F541E84" w:rsidR="00982514" w:rsidRDefault="00982514" w:rsidP="00982514">
      <w:pPr>
        <w:pStyle w:val="ListParagraph"/>
        <w:numPr>
          <w:ilvl w:val="0"/>
          <w:numId w:val="1"/>
        </w:numPr>
      </w:pPr>
      <w:r>
        <w:t>Administrative Overhead</w:t>
      </w:r>
    </w:p>
    <w:p w14:paraId="4024D693" w14:textId="7AA872E8" w:rsidR="00982514" w:rsidRDefault="00982514" w:rsidP="00982514">
      <w:pPr>
        <w:pStyle w:val="ListParagraph"/>
        <w:numPr>
          <w:ilvl w:val="1"/>
          <w:numId w:val="1"/>
        </w:numPr>
      </w:pPr>
      <w:r w:rsidRPr="001A33C6">
        <w:rPr>
          <w:b/>
          <w:bCs/>
        </w:rPr>
        <w:t>No changes</w:t>
      </w:r>
      <w:r>
        <w:t>.</w:t>
      </w:r>
    </w:p>
    <w:p w14:paraId="4AF47D1B" w14:textId="372551FC" w:rsidR="00982514" w:rsidRDefault="00982514" w:rsidP="00982514">
      <w:pPr>
        <w:pStyle w:val="ListParagraph"/>
        <w:numPr>
          <w:ilvl w:val="1"/>
          <w:numId w:val="1"/>
        </w:numPr>
      </w:pPr>
      <w:r>
        <w:t>Note, the current model indicates this</w:t>
      </w:r>
      <w:r w:rsidR="00327710">
        <w:t xml:space="preserve"> percentage</w:t>
      </w:r>
      <w:r>
        <w:t xml:space="preserve"> includes training. We want to be clear this includes provider cost to conduct training, NOT the productivity “loss”/adjustment – we are including that in the productivity assumptions.</w:t>
      </w:r>
    </w:p>
    <w:p w14:paraId="4AC3E938" w14:textId="77777777" w:rsidR="007235A8" w:rsidRPr="007235A8" w:rsidRDefault="007235A8" w:rsidP="007235A8">
      <w:pPr>
        <w:rPr>
          <w:b/>
          <w:bCs/>
          <w:i/>
          <w:iCs/>
        </w:rPr>
      </w:pPr>
      <w:r w:rsidRPr="007235A8">
        <w:rPr>
          <w:b/>
          <w:bCs/>
          <w:i/>
          <w:iCs/>
        </w:rPr>
        <w:t>Other Considerations</w:t>
      </w:r>
    </w:p>
    <w:p w14:paraId="769CAACC" w14:textId="300D39A5" w:rsidR="00982514" w:rsidRDefault="00461B29" w:rsidP="007235A8">
      <w:pPr>
        <w:pStyle w:val="ListParagraph"/>
        <w:numPr>
          <w:ilvl w:val="0"/>
          <w:numId w:val="6"/>
        </w:numPr>
      </w:pPr>
      <w:r>
        <w:t>Annual Adjustment</w:t>
      </w:r>
    </w:p>
    <w:p w14:paraId="1F474311" w14:textId="77777777" w:rsidR="007B0592" w:rsidRDefault="00461B29" w:rsidP="007235A8">
      <w:pPr>
        <w:pStyle w:val="ListParagraph"/>
        <w:numPr>
          <w:ilvl w:val="1"/>
          <w:numId w:val="6"/>
        </w:numPr>
      </w:pPr>
      <w:r>
        <w:t xml:space="preserve">The rate model should be </w:t>
      </w:r>
      <w:r w:rsidRPr="001A33C6">
        <w:rPr>
          <w:b/>
          <w:bCs/>
        </w:rPr>
        <w:t>adjusted annually based on BLS data</w:t>
      </w:r>
      <w:r>
        <w:t>.</w:t>
      </w:r>
    </w:p>
    <w:p w14:paraId="30F25FD4" w14:textId="0C1F13CC" w:rsidR="001A33C6" w:rsidRDefault="00461B29" w:rsidP="007235A8">
      <w:pPr>
        <w:pStyle w:val="ListParagraph"/>
        <w:numPr>
          <w:ilvl w:val="1"/>
          <w:numId w:val="6"/>
        </w:numPr>
      </w:pPr>
      <w:r>
        <w:t xml:space="preserve">We recommend </w:t>
      </w:r>
      <w:r w:rsidR="001A33C6">
        <w:t>doing one of the following:</w:t>
      </w:r>
    </w:p>
    <w:p w14:paraId="4A0C3C9C" w14:textId="77777777" w:rsidR="001A33C6" w:rsidRDefault="001A33C6" w:rsidP="007235A8">
      <w:pPr>
        <w:pStyle w:val="ListParagraph"/>
        <w:numPr>
          <w:ilvl w:val="2"/>
          <w:numId w:val="6"/>
        </w:numPr>
      </w:pPr>
      <w:r>
        <w:t>A</w:t>
      </w:r>
      <w:r w:rsidR="00461B29">
        <w:t>djust</w:t>
      </w:r>
      <w:r>
        <w:t xml:space="preserve"> annually</w:t>
      </w:r>
      <w:r w:rsidR="00461B29">
        <w:t xml:space="preserve"> based on the Employment Cost Index (ECI) </w:t>
      </w:r>
      <w:r w:rsidR="00CD5EEF">
        <w:t xml:space="preserve">for the previous 12 months – “Wages and salaries and benefits in private industry, 12-month percent change, Healthcare and Social Service Industry”. </w:t>
      </w:r>
    </w:p>
    <w:p w14:paraId="707B9059" w14:textId="662890F1" w:rsidR="00CD5EEF" w:rsidRDefault="001A33C6" w:rsidP="007235A8">
      <w:pPr>
        <w:pStyle w:val="ListParagraph"/>
        <w:numPr>
          <w:ilvl w:val="2"/>
          <w:numId w:val="6"/>
        </w:numPr>
      </w:pPr>
      <w:r>
        <w:t xml:space="preserve">Adjust by </w:t>
      </w:r>
      <w:r w:rsidR="00C3636D">
        <w:t xml:space="preserve">rolling average of </w:t>
      </w:r>
      <w:r w:rsidR="00E07679">
        <w:t xml:space="preserve">the above for the </w:t>
      </w:r>
      <w:r w:rsidR="00C3636D">
        <w:t xml:space="preserve">most recent </w:t>
      </w:r>
      <w:r w:rsidR="00020733">
        <w:t>5-year</w:t>
      </w:r>
      <w:r w:rsidR="00E07679">
        <w:t xml:space="preserve"> period</w:t>
      </w:r>
      <w:r w:rsidR="00C3636D">
        <w:t xml:space="preserve">. For example, </w:t>
      </w:r>
      <w:r w:rsidR="00020733">
        <w:t>applying this historically would have meant</w:t>
      </w:r>
      <w:r w:rsidR="00C3636D">
        <w:t>:</w:t>
      </w:r>
    </w:p>
    <w:p w14:paraId="70C2241D" w14:textId="7870D90E" w:rsidR="00E07679" w:rsidRDefault="00E07679" w:rsidP="007235A8">
      <w:pPr>
        <w:pStyle w:val="ListParagraph"/>
        <w:numPr>
          <w:ilvl w:val="3"/>
          <w:numId w:val="6"/>
        </w:numPr>
      </w:pPr>
      <w:r>
        <w:t xml:space="preserve">January 1, </w:t>
      </w:r>
      <w:proofErr w:type="gramStart"/>
      <w:r>
        <w:t>2024</w:t>
      </w:r>
      <w:proofErr w:type="gramEnd"/>
      <w:r>
        <w:t xml:space="preserve"> rate increase =</w:t>
      </w:r>
      <w:r w:rsidR="00020733">
        <w:t xml:space="preserve"> 3.84%</w:t>
      </w:r>
    </w:p>
    <w:p w14:paraId="7B8A146D" w14:textId="64BCAE42" w:rsidR="00E07679" w:rsidRDefault="00E07679" w:rsidP="007235A8">
      <w:pPr>
        <w:pStyle w:val="ListParagraph"/>
        <w:numPr>
          <w:ilvl w:val="3"/>
          <w:numId w:val="6"/>
        </w:numPr>
      </w:pPr>
      <w:r>
        <w:t xml:space="preserve">January 1, </w:t>
      </w:r>
      <w:proofErr w:type="gramStart"/>
      <w:r>
        <w:t>2023</w:t>
      </w:r>
      <w:proofErr w:type="gramEnd"/>
      <w:r>
        <w:t xml:space="preserve"> rate increase =</w:t>
      </w:r>
      <w:r w:rsidR="00020733">
        <w:t xml:space="preserve"> 3.52%</w:t>
      </w:r>
    </w:p>
    <w:p w14:paraId="1879DD56" w14:textId="4BFA3D6E" w:rsidR="00E07679" w:rsidRDefault="00E07679" w:rsidP="007235A8">
      <w:pPr>
        <w:pStyle w:val="ListParagraph"/>
        <w:numPr>
          <w:ilvl w:val="3"/>
          <w:numId w:val="6"/>
        </w:numPr>
      </w:pPr>
      <w:r>
        <w:t xml:space="preserve">January 1, </w:t>
      </w:r>
      <w:proofErr w:type="gramStart"/>
      <w:r>
        <w:t>2022</w:t>
      </w:r>
      <w:proofErr w:type="gramEnd"/>
      <w:r>
        <w:t xml:space="preserve"> rate increase =</w:t>
      </w:r>
      <w:r w:rsidR="00020733">
        <w:t xml:space="preserve"> 2.82%</w:t>
      </w:r>
    </w:p>
    <w:p w14:paraId="6C6C1BAF" w14:textId="500FC782" w:rsidR="00E07679" w:rsidRDefault="00E07679" w:rsidP="007235A8">
      <w:pPr>
        <w:pStyle w:val="ListParagraph"/>
        <w:numPr>
          <w:ilvl w:val="3"/>
          <w:numId w:val="6"/>
        </w:numPr>
      </w:pPr>
      <w:r>
        <w:t xml:space="preserve">January 1, </w:t>
      </w:r>
      <w:proofErr w:type="gramStart"/>
      <w:r>
        <w:t>2021</w:t>
      </w:r>
      <w:proofErr w:type="gramEnd"/>
      <w:r>
        <w:t xml:space="preserve"> rate increase =</w:t>
      </w:r>
      <w:r w:rsidR="00020733">
        <w:t xml:space="preserve"> 2.26%</w:t>
      </w:r>
    </w:p>
    <w:p w14:paraId="5B472407" w14:textId="2568A337" w:rsidR="00CD5EEF" w:rsidRDefault="00E07679" w:rsidP="007235A8">
      <w:pPr>
        <w:pStyle w:val="ListParagraph"/>
        <w:numPr>
          <w:ilvl w:val="3"/>
          <w:numId w:val="6"/>
        </w:numPr>
      </w:pPr>
      <w:r>
        <w:lastRenderedPageBreak/>
        <w:t xml:space="preserve">January 1, </w:t>
      </w:r>
      <w:proofErr w:type="gramStart"/>
      <w:r>
        <w:t>2020</w:t>
      </w:r>
      <w:proofErr w:type="gramEnd"/>
      <w:r>
        <w:t xml:space="preserve"> rate increase = </w:t>
      </w:r>
      <w:r w:rsidR="00020733">
        <w:t>2.14%</w:t>
      </w:r>
    </w:p>
    <w:p w14:paraId="011F7DAC" w14:textId="08386C2F" w:rsidR="00EA46D1" w:rsidRDefault="00EA46D1" w:rsidP="007235A8">
      <w:pPr>
        <w:pStyle w:val="ListParagraph"/>
        <w:numPr>
          <w:ilvl w:val="0"/>
          <w:numId w:val="6"/>
        </w:numPr>
      </w:pPr>
      <w:r>
        <w:t>Cost of Doing Business Categories</w:t>
      </w:r>
      <w:r>
        <w:rPr>
          <w:rStyle w:val="FootnoteReference"/>
        </w:rPr>
        <w:footnoteReference w:id="2"/>
      </w:r>
      <w:r>
        <w:t xml:space="preserve">. </w:t>
      </w:r>
    </w:p>
    <w:p w14:paraId="07CF5E6B" w14:textId="20A205C9" w:rsidR="00CF3322" w:rsidRDefault="00CF3322" w:rsidP="00CF3322">
      <w:pPr>
        <w:ind w:left="720"/>
      </w:pPr>
      <w:r>
        <w:t xml:space="preserve">Looking at Regional Price Parity (RPP) data for regions in Ohio, it appears we could move to two </w:t>
      </w:r>
      <w:proofErr w:type="gramStart"/>
      <w:r>
        <w:t>cost</w:t>
      </w:r>
      <w:proofErr w:type="gramEnd"/>
      <w:r>
        <w:t xml:space="preserve"> of doing business categories rather than one – with areas of the state at or below the average RPP being in CODB A category, and areas of the state above average in CODB B. Consider:</w:t>
      </w:r>
    </w:p>
    <w:p w14:paraId="0E4AFEBD" w14:textId="5ADB61FA" w:rsidR="00CF3322" w:rsidRDefault="00CF3322" w:rsidP="00CF3322">
      <w:pPr>
        <w:pStyle w:val="ListParagraph"/>
        <w:numPr>
          <w:ilvl w:val="0"/>
          <w:numId w:val="7"/>
        </w:numPr>
      </w:pPr>
      <w:r>
        <w:t>CODB A: Roll current CODBs 1-4 into 4</w:t>
      </w:r>
    </w:p>
    <w:p w14:paraId="6765EF0B" w14:textId="00F8287A" w:rsidR="00CF3322" w:rsidRDefault="00CF3322" w:rsidP="00CF3322">
      <w:pPr>
        <w:pStyle w:val="ListParagraph"/>
        <w:numPr>
          <w:ilvl w:val="0"/>
          <w:numId w:val="7"/>
        </w:numPr>
      </w:pPr>
      <w:r>
        <w:t>CODB B: Roll current CODBs 5-8 into 8</w:t>
      </w:r>
      <w:r>
        <w:tab/>
      </w:r>
    </w:p>
    <w:p w14:paraId="19380C4E" w14:textId="7DF2D1C2" w:rsidR="007235A8" w:rsidRDefault="00FD48AF" w:rsidP="00CF3322">
      <w:pPr>
        <w:pStyle w:val="ListParagraph"/>
        <w:numPr>
          <w:ilvl w:val="0"/>
          <w:numId w:val="6"/>
        </w:numPr>
        <w:spacing w:before="240"/>
      </w:pPr>
      <w:r w:rsidRPr="007235A8">
        <w:t xml:space="preserve">Comparison to </w:t>
      </w:r>
      <w:r w:rsidR="00EA46D1" w:rsidRPr="007235A8">
        <w:t>O</w:t>
      </w:r>
      <w:r w:rsidRPr="007235A8">
        <w:t xml:space="preserve">ther </w:t>
      </w:r>
      <w:r w:rsidR="00EA46D1" w:rsidRPr="007235A8">
        <w:t>R</w:t>
      </w:r>
      <w:r w:rsidRPr="007235A8">
        <w:t>ates</w:t>
      </w:r>
    </w:p>
    <w:p w14:paraId="79373973" w14:textId="5939CB45" w:rsidR="00FD48AF" w:rsidRDefault="00FD48AF" w:rsidP="00E74081">
      <w:pPr>
        <w:ind w:left="720"/>
      </w:pPr>
      <w:r>
        <w:t>The adjustments to the model result</w:t>
      </w:r>
      <w:r w:rsidR="00BA5BAF">
        <w:t>s</w:t>
      </w:r>
      <w:r>
        <w:t xml:space="preserve"> in a proposed rate of </w:t>
      </w:r>
      <w:r w:rsidRPr="00E74081">
        <w:rPr>
          <w:b/>
          <w:bCs/>
        </w:rPr>
        <w:t>$</w:t>
      </w:r>
      <w:r w:rsidR="00AD56EB" w:rsidRPr="00E74081">
        <w:rPr>
          <w:b/>
          <w:bCs/>
        </w:rPr>
        <w:t>40.41</w:t>
      </w:r>
      <w:r w:rsidR="007B0592" w:rsidRPr="00E74081">
        <w:rPr>
          <w:b/>
          <w:bCs/>
        </w:rPr>
        <w:t xml:space="preserve"> beginning January 1, 2026</w:t>
      </w:r>
      <w:r>
        <w:t>. This compares to:</w:t>
      </w:r>
    </w:p>
    <w:p w14:paraId="31AC5DEF" w14:textId="0C4A35DA" w:rsidR="00FD48AF" w:rsidRDefault="00FD48AF" w:rsidP="00EA46D1">
      <w:pPr>
        <w:pStyle w:val="ListParagraph"/>
        <w:numPr>
          <w:ilvl w:val="0"/>
          <w:numId w:val="4"/>
        </w:numPr>
      </w:pPr>
      <w:r>
        <w:t>ODM Home Health Aide (as of 1/24): $38.27</w:t>
      </w:r>
    </w:p>
    <w:p w14:paraId="5F36C6AE" w14:textId="738E6A4B" w:rsidR="00FA25D4" w:rsidRDefault="00FD48AF" w:rsidP="00EA46D1">
      <w:pPr>
        <w:pStyle w:val="ListParagraph"/>
        <w:numPr>
          <w:ilvl w:val="0"/>
          <w:numId w:val="4"/>
        </w:numPr>
      </w:pPr>
      <w:r>
        <w:t>ODM Hospice</w:t>
      </w:r>
      <w:r w:rsidR="00FA25D4">
        <w:t xml:space="preserve"> – Continuous Home Care, per hour (no quality incentive, no add-on): $53.24 – $61.48</w:t>
      </w:r>
    </w:p>
    <w:p w14:paraId="3311031A" w14:textId="1496CE39" w:rsidR="00FD48AF" w:rsidRDefault="00FD48AF" w:rsidP="00EA46D1">
      <w:pPr>
        <w:pStyle w:val="ListParagraph"/>
        <w:numPr>
          <w:ilvl w:val="0"/>
          <w:numId w:val="4"/>
        </w:numPr>
      </w:pPr>
      <w:proofErr w:type="spellStart"/>
      <w:r>
        <w:t>OhioRISE</w:t>
      </w:r>
      <w:proofErr w:type="spellEnd"/>
      <w:r w:rsidR="001D0F5C">
        <w:t xml:space="preserve"> – Intensive Home-Based Therapy delivered by a “Qualified Mental Health Specialist” (non-degreed) - $38.57 </w:t>
      </w:r>
    </w:p>
    <w:p w14:paraId="0F5997B2" w14:textId="59770EF6" w:rsidR="00CD5EEF" w:rsidRPr="007235A8" w:rsidRDefault="00AD56EB" w:rsidP="007235A8">
      <w:pPr>
        <w:pStyle w:val="ListParagraph"/>
        <w:numPr>
          <w:ilvl w:val="0"/>
          <w:numId w:val="6"/>
        </w:numPr>
      </w:pPr>
      <w:r w:rsidRPr="007235A8">
        <w:t>Access Rule</w:t>
      </w:r>
    </w:p>
    <w:p w14:paraId="212D5DE9" w14:textId="77777777" w:rsidR="00EA46D1" w:rsidRDefault="00EA46D1" w:rsidP="007235A8">
      <w:pPr>
        <w:ind w:left="720"/>
      </w:pPr>
      <w:r>
        <w:t xml:space="preserve">Ohio’s HPC service is categorized as “home-based habilitation” and is </w:t>
      </w:r>
      <w:r w:rsidRPr="0006472A">
        <w:t>not</w:t>
      </w:r>
      <w:r>
        <w:t xml:space="preserve"> subject to the payment adequacy provision – which applies only to homemaker, personal care, and home health aide. CMS specifically notes:</w:t>
      </w:r>
    </w:p>
    <w:p w14:paraId="64786C10" w14:textId="77777777" w:rsidR="00EA46D1" w:rsidRDefault="00EA46D1" w:rsidP="00EA46D1">
      <w:pPr>
        <w:pStyle w:val="ListParagraph"/>
        <w:numPr>
          <w:ilvl w:val="0"/>
          <w:numId w:val="5"/>
        </w:numPr>
      </w:pPr>
      <w:r>
        <w:t>[Habilitation services] are likelier</w:t>
      </w:r>
      <w:r w:rsidRPr="00F13806">
        <w:t xml:space="preserve"> to include at least some activities in a provider-operated facility or residential setting, which </w:t>
      </w:r>
      <w:r w:rsidRPr="00F13806">
        <w:rPr>
          <w:b/>
          <w:bCs/>
        </w:rPr>
        <w:t>changes the expected costs of providing and allocation of the payment for these services</w:t>
      </w:r>
      <w:r w:rsidRPr="00F13806">
        <w:t>.</w:t>
      </w:r>
    </w:p>
    <w:p w14:paraId="7AD69965" w14:textId="77777777" w:rsidR="00EA46D1" w:rsidRDefault="00EA46D1" w:rsidP="00EA46D1">
      <w:pPr>
        <w:pStyle w:val="ListParagraph"/>
        <w:numPr>
          <w:ilvl w:val="0"/>
          <w:numId w:val="5"/>
        </w:numPr>
      </w:pPr>
      <w:r>
        <w:t>T</w:t>
      </w:r>
      <w:r w:rsidRPr="00F13806">
        <w:t xml:space="preserve">he comments we received </w:t>
      </w:r>
      <w:r w:rsidRPr="00F13806">
        <w:rPr>
          <w:b/>
          <w:bCs/>
        </w:rPr>
        <w:t>affirm our decision not to apply the HCBS payment adequacy policy we are finalizing at §441.302(k) to habilitation or other facility-based services</w:t>
      </w:r>
      <w:r w:rsidRPr="00F13806">
        <w:t xml:space="preserve"> (in which services are delivered in a provider-operated physical location and for which facility-related costs are included in the Medicaid payment rate) due to the number of additional or variable expenses associated with facility-based services.</w:t>
      </w:r>
    </w:p>
    <w:p w14:paraId="6930A201" w14:textId="7806B28F" w:rsidR="00EA46D1" w:rsidRDefault="00EA46D1" w:rsidP="007235A8">
      <w:pPr>
        <w:pStyle w:val="ListParagraph"/>
        <w:numPr>
          <w:ilvl w:val="0"/>
          <w:numId w:val="5"/>
        </w:numPr>
      </w:pPr>
      <w:r>
        <w:t>B</w:t>
      </w:r>
      <w:r w:rsidRPr="0006472A">
        <w:t xml:space="preserve">ecause of differences in </w:t>
      </w:r>
      <w:r>
        <w:t>[habilitation]</w:t>
      </w:r>
      <w:r w:rsidRPr="0006472A">
        <w:t xml:space="preserve"> services, </w:t>
      </w:r>
      <w:r w:rsidRPr="0006472A">
        <w:rPr>
          <w:b/>
          <w:bCs/>
        </w:rPr>
        <w:t>we do not believe we can set an appropriate minimum performance level for these services at this time</w:t>
      </w:r>
      <w:r w:rsidRPr="0006472A">
        <w:t>.</w:t>
      </w:r>
    </w:p>
    <w:p w14:paraId="18C75A6F" w14:textId="22B3DCF7" w:rsidR="00AD56EB" w:rsidRDefault="00AD56EB" w:rsidP="007235A8">
      <w:pPr>
        <w:ind w:left="720"/>
      </w:pPr>
      <w:r>
        <w:lastRenderedPageBreak/>
        <w:t>The only way to achieve the 80/20 provision is to drop the admin/overhead percentage to 5%</w:t>
      </w:r>
      <w:r w:rsidR="009037D1">
        <w:t xml:space="preserve"> - which will not “enlist [or retain] an adequate supply of providers</w:t>
      </w:r>
      <w:r>
        <w:t>.</w:t>
      </w:r>
      <w:r w:rsidR="009037D1">
        <w:t xml:space="preserve">” It is </w:t>
      </w:r>
      <w:r w:rsidR="009037D1" w:rsidRPr="00EA46D1">
        <w:rPr>
          <w:b/>
          <w:bCs/>
        </w:rPr>
        <w:t xml:space="preserve">not feasible for providers of “home-based habilitation” </w:t>
      </w:r>
      <w:r w:rsidR="009037D1">
        <w:t>services to operate with a 5% overhead – the precise reason CMS excluded services that are “likelier</w:t>
      </w:r>
      <w:r w:rsidR="009037D1" w:rsidRPr="00F13806">
        <w:t xml:space="preserve"> to include at least some activities in a provider-operated facility or residential setting</w:t>
      </w:r>
      <w:r w:rsidR="009037D1">
        <w:t>” from the provision.</w:t>
      </w:r>
    </w:p>
    <w:sectPr w:rsidR="00AD56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2387A" w14:textId="77777777" w:rsidR="003C6FAF" w:rsidRDefault="003C6FAF" w:rsidP="0006472A">
      <w:pPr>
        <w:spacing w:after="0" w:line="240" w:lineRule="auto"/>
      </w:pPr>
      <w:r>
        <w:separator/>
      </w:r>
    </w:p>
  </w:endnote>
  <w:endnote w:type="continuationSeparator" w:id="0">
    <w:p w14:paraId="5400BC8E" w14:textId="77777777" w:rsidR="003C6FAF" w:rsidRDefault="003C6FAF" w:rsidP="00064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3922236"/>
      <w:docPartObj>
        <w:docPartGallery w:val="Page Numbers (Bottom of Page)"/>
        <w:docPartUnique/>
      </w:docPartObj>
    </w:sdtPr>
    <w:sdtContent>
      <w:p w14:paraId="719D52B3" w14:textId="68620406" w:rsidR="0006472A" w:rsidRDefault="0006472A" w:rsidP="00A93C7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DBFAFD" w14:textId="77777777" w:rsidR="0006472A" w:rsidRDefault="0006472A" w:rsidP="000647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35608718"/>
      <w:docPartObj>
        <w:docPartGallery w:val="Page Numbers (Bottom of Page)"/>
        <w:docPartUnique/>
      </w:docPartObj>
    </w:sdtPr>
    <w:sdtContent>
      <w:p w14:paraId="3BD96EDC" w14:textId="28B1E6B7" w:rsidR="0006472A" w:rsidRDefault="0006472A" w:rsidP="00A93C7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1949B4A" w14:textId="2477B702" w:rsidR="0006472A" w:rsidRDefault="0006472A" w:rsidP="0006472A">
    <w:pPr>
      <w:pStyle w:val="Footer"/>
      <w:ind w:right="360"/>
    </w:pPr>
    <w:r>
      <w:t xml:space="preserve">OPRA Rate Model </w:t>
    </w:r>
    <w:r w:rsidR="00EA46D1">
      <w:t>Feedback</w:t>
    </w:r>
  </w:p>
  <w:p w14:paraId="70C6AB07" w14:textId="56F3D668" w:rsidR="0006472A" w:rsidRDefault="0006472A">
    <w:pPr>
      <w:pStyle w:val="Footer"/>
    </w:pPr>
    <w:r>
      <w:t>6/</w:t>
    </w:r>
    <w:r w:rsidR="00EA46D1">
      <w:t>18</w:t>
    </w:r>
    <w: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3873D" w14:textId="77777777" w:rsidR="003C6FAF" w:rsidRDefault="003C6FAF" w:rsidP="0006472A">
      <w:pPr>
        <w:spacing w:after="0" w:line="240" w:lineRule="auto"/>
      </w:pPr>
      <w:r>
        <w:separator/>
      </w:r>
    </w:p>
  </w:footnote>
  <w:footnote w:type="continuationSeparator" w:id="0">
    <w:p w14:paraId="4C5E96B5" w14:textId="77777777" w:rsidR="003C6FAF" w:rsidRDefault="003C6FAF" w:rsidP="0006472A">
      <w:pPr>
        <w:spacing w:after="0" w:line="240" w:lineRule="auto"/>
      </w:pPr>
      <w:r>
        <w:continuationSeparator/>
      </w:r>
    </w:p>
  </w:footnote>
  <w:footnote w:id="1">
    <w:p w14:paraId="5BC100FF" w14:textId="11AB7EBF" w:rsidR="0006472A" w:rsidRDefault="0006472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1B7E">
        <w:t xml:space="preserve">See January 1, </w:t>
      </w:r>
      <w:proofErr w:type="gramStart"/>
      <w:r w:rsidR="00B61B7E">
        <w:t>2026</w:t>
      </w:r>
      <w:proofErr w:type="gramEnd"/>
      <w:r w:rsidR="00B61B7E">
        <w:t xml:space="preserve"> tab on attached </w:t>
      </w:r>
      <w:r>
        <w:t>Excel spreadsheet.</w:t>
      </w:r>
    </w:p>
  </w:footnote>
  <w:footnote w:id="2">
    <w:p w14:paraId="779B044A" w14:textId="6BA81719" w:rsidR="00EA46D1" w:rsidRDefault="00EA46D1">
      <w:pPr>
        <w:pStyle w:val="FootnoteText"/>
      </w:pPr>
      <w:r>
        <w:rPr>
          <w:rStyle w:val="FootnoteReference"/>
        </w:rPr>
        <w:footnoteRef/>
      </w:r>
      <w:r>
        <w:t xml:space="preserve"> See “CODB” tab on attached spreadsheet.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12EF" w14:textId="6AD506A3" w:rsidR="00B61B7E" w:rsidRDefault="003C6FAF">
    <w:pPr>
      <w:pStyle w:val="Header"/>
    </w:pPr>
    <w:r>
      <w:rPr>
        <w:noProof/>
      </w:rPr>
      <w:pict w14:anchorId="096C82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7620151" o:spid="_x0000_s1027" type="#_x0000_t136" alt="" style="position:absolute;margin-left:0;margin-top:0;width:471.1pt;height:188.4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pto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8BB62" w14:textId="03929BB6" w:rsidR="00B61B7E" w:rsidRDefault="003C6FAF">
    <w:pPr>
      <w:pStyle w:val="Header"/>
    </w:pPr>
    <w:r>
      <w:rPr>
        <w:noProof/>
      </w:rPr>
      <w:pict w14:anchorId="2A6C3A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7620152" o:spid="_x0000_s1026" type="#_x0000_t136" alt="" style="position:absolute;margin-left:0;margin-top:0;width:471.1pt;height:188.4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ptos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FA25A" w14:textId="66B8AF28" w:rsidR="00B61B7E" w:rsidRDefault="003C6FAF">
    <w:pPr>
      <w:pStyle w:val="Header"/>
    </w:pPr>
    <w:r>
      <w:rPr>
        <w:noProof/>
      </w:rPr>
      <w:pict w14:anchorId="56247F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7620150" o:spid="_x0000_s1025" type="#_x0000_t136" alt="" style="position:absolute;margin-left:0;margin-top:0;width:471.1pt;height:188.4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ptos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24C20"/>
    <w:multiLevelType w:val="hybridMultilevel"/>
    <w:tmpl w:val="445E3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D30C6"/>
    <w:multiLevelType w:val="hybridMultilevel"/>
    <w:tmpl w:val="6D385C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C51A0"/>
    <w:multiLevelType w:val="hybridMultilevel"/>
    <w:tmpl w:val="5AF00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2F422F"/>
    <w:multiLevelType w:val="hybridMultilevel"/>
    <w:tmpl w:val="303CE6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6C4EB2"/>
    <w:multiLevelType w:val="hybridMultilevel"/>
    <w:tmpl w:val="6E529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E4350"/>
    <w:multiLevelType w:val="hybridMultilevel"/>
    <w:tmpl w:val="A47EF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CFD48848">
      <w:start w:val="4"/>
      <w:numFmt w:val="bullet"/>
      <w:lvlText w:val="-"/>
      <w:lvlJc w:val="left"/>
      <w:pPr>
        <w:ind w:left="4500" w:hanging="360"/>
      </w:pPr>
      <w:rPr>
        <w:rFonts w:ascii="Aptos" w:eastAsiaTheme="minorHAnsi" w:hAnsi="Aptos" w:cstheme="minorBidi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10057"/>
    <w:multiLevelType w:val="hybridMultilevel"/>
    <w:tmpl w:val="662E5E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1014596">
    <w:abstractNumId w:val="5"/>
  </w:num>
  <w:num w:numId="2" w16cid:durableId="1229152095">
    <w:abstractNumId w:val="0"/>
  </w:num>
  <w:num w:numId="3" w16cid:durableId="1497114977">
    <w:abstractNumId w:val="1"/>
  </w:num>
  <w:num w:numId="4" w16cid:durableId="1466580706">
    <w:abstractNumId w:val="3"/>
  </w:num>
  <w:num w:numId="5" w16cid:durableId="1072970346">
    <w:abstractNumId w:val="2"/>
  </w:num>
  <w:num w:numId="6" w16cid:durableId="1500389378">
    <w:abstractNumId w:val="4"/>
  </w:num>
  <w:num w:numId="7" w16cid:durableId="273560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2C"/>
    <w:rsid w:val="00020733"/>
    <w:rsid w:val="00036C2C"/>
    <w:rsid w:val="0004371C"/>
    <w:rsid w:val="0006472A"/>
    <w:rsid w:val="001768EB"/>
    <w:rsid w:val="001A33C6"/>
    <w:rsid w:val="001D0F5C"/>
    <w:rsid w:val="002006C0"/>
    <w:rsid w:val="00327710"/>
    <w:rsid w:val="003325ED"/>
    <w:rsid w:val="0038024D"/>
    <w:rsid w:val="003B4628"/>
    <w:rsid w:val="003C6FAF"/>
    <w:rsid w:val="00461B29"/>
    <w:rsid w:val="00526ED6"/>
    <w:rsid w:val="00541E2C"/>
    <w:rsid w:val="006A4E78"/>
    <w:rsid w:val="006B2B8D"/>
    <w:rsid w:val="007235A8"/>
    <w:rsid w:val="007B0592"/>
    <w:rsid w:val="009037D1"/>
    <w:rsid w:val="00931DE1"/>
    <w:rsid w:val="00982514"/>
    <w:rsid w:val="009A4591"/>
    <w:rsid w:val="00A16890"/>
    <w:rsid w:val="00A93977"/>
    <w:rsid w:val="00AC01F4"/>
    <w:rsid w:val="00AD56EB"/>
    <w:rsid w:val="00B61B7E"/>
    <w:rsid w:val="00B76234"/>
    <w:rsid w:val="00BA5BAF"/>
    <w:rsid w:val="00BC23DF"/>
    <w:rsid w:val="00C3636D"/>
    <w:rsid w:val="00CD5EEF"/>
    <w:rsid w:val="00CF3322"/>
    <w:rsid w:val="00D16BD9"/>
    <w:rsid w:val="00E07679"/>
    <w:rsid w:val="00E74081"/>
    <w:rsid w:val="00EA46D1"/>
    <w:rsid w:val="00EF31A5"/>
    <w:rsid w:val="00F13806"/>
    <w:rsid w:val="00F9450F"/>
    <w:rsid w:val="00FA25D4"/>
    <w:rsid w:val="00FD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9E5C6"/>
  <w15:chartTrackingRefBased/>
  <w15:docId w15:val="{B054185B-E11C-7A44-A7F1-A2F3DF3F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C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C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6C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C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C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C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6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6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6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6C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C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6C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C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C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4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72A"/>
  </w:style>
  <w:style w:type="paragraph" w:styleId="Footer">
    <w:name w:val="footer"/>
    <w:basedOn w:val="Normal"/>
    <w:link w:val="FooterChar"/>
    <w:uiPriority w:val="99"/>
    <w:unhideWhenUsed/>
    <w:rsid w:val="00064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72A"/>
  </w:style>
  <w:style w:type="character" w:styleId="PageNumber">
    <w:name w:val="page number"/>
    <w:basedOn w:val="DefaultParagraphFont"/>
    <w:uiPriority w:val="99"/>
    <w:semiHidden/>
    <w:unhideWhenUsed/>
    <w:rsid w:val="0006472A"/>
  </w:style>
  <w:style w:type="paragraph" w:styleId="FootnoteText">
    <w:name w:val="footnote text"/>
    <w:basedOn w:val="Normal"/>
    <w:link w:val="FootnoteTextChar"/>
    <w:uiPriority w:val="99"/>
    <w:semiHidden/>
    <w:unhideWhenUsed/>
    <w:rsid w:val="000647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47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472A"/>
    <w:rPr>
      <w:vertAlign w:val="superscript"/>
    </w:rPr>
  </w:style>
  <w:style w:type="character" w:customStyle="1" w:styleId="apple-converted-space">
    <w:name w:val="apple-converted-space"/>
    <w:basedOn w:val="DefaultParagraphFont"/>
    <w:rsid w:val="00CF3322"/>
  </w:style>
  <w:style w:type="character" w:customStyle="1" w:styleId="outlook-search-highlight">
    <w:name w:val="outlook-search-highlight"/>
    <w:basedOn w:val="DefaultParagraphFont"/>
    <w:rsid w:val="00CF3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261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9E70BC-48BF-3941-AC9E-316B05C4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Kobelt</dc:creator>
  <cp:keywords/>
  <dc:description/>
  <cp:lastModifiedBy>Teresa Kobelt</cp:lastModifiedBy>
  <cp:revision>12</cp:revision>
  <dcterms:created xsi:type="dcterms:W3CDTF">2024-06-06T16:07:00Z</dcterms:created>
  <dcterms:modified xsi:type="dcterms:W3CDTF">2024-06-18T19:51:00Z</dcterms:modified>
</cp:coreProperties>
</file>