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rsidR="00713990" w:rsidRDefault="00A650CB" w:rsidP="00713990">
      <w:pPr>
        <w:jc w:val="center"/>
        <w:rPr>
          <w:rFonts w:asciiTheme="majorHAnsi" w:hAnsiTheme="majorHAnsi"/>
          <w:b/>
          <w:i/>
        </w:rPr>
      </w:pPr>
      <w:r>
        <w:rPr>
          <w:rFonts w:asciiTheme="majorHAnsi" w:hAnsiTheme="majorHAnsi"/>
          <w:b/>
          <w:i/>
        </w:rPr>
        <w:t>February 25</w:t>
      </w:r>
      <w:r w:rsidR="003E3F91">
        <w:rPr>
          <w:rFonts w:asciiTheme="majorHAnsi" w:hAnsiTheme="majorHAnsi"/>
          <w:b/>
          <w:i/>
        </w:rPr>
        <w:t>, 2015</w:t>
      </w:r>
    </w:p>
    <w:p w:rsidR="001A6157" w:rsidRPr="006C7C3B" w:rsidRDefault="00857D94" w:rsidP="006C7C3B">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rsidR="001A6157" w:rsidRPr="003F65CB" w:rsidRDefault="001A6157">
      <w:pPr>
        <w:rPr>
          <w:rFonts w:asciiTheme="majorHAnsi" w:hAnsiTheme="majorHAnsi"/>
        </w:rPr>
      </w:pPr>
    </w:p>
    <w:p w:rsidR="008D2AA7" w:rsidRPr="003F65CB" w:rsidRDefault="00E40492">
      <w:pPr>
        <w:rPr>
          <w:rFonts w:asciiTheme="majorHAnsi" w:hAnsiTheme="majorHAnsi" w:cs="Calibri"/>
          <w:b/>
          <w:i/>
        </w:rPr>
      </w:pPr>
      <w:r w:rsidRPr="003F65CB">
        <w:rPr>
          <w:rFonts w:asciiTheme="majorHAnsi" w:hAnsiTheme="majorHAnsi" w:cs="Calibri"/>
          <w:b/>
          <w:i/>
        </w:rPr>
        <w:t xml:space="preserve">A.  </w:t>
      </w:r>
      <w:r w:rsidR="008D2AA7" w:rsidRPr="003F65CB">
        <w:rPr>
          <w:rFonts w:asciiTheme="majorHAnsi" w:hAnsiTheme="majorHAnsi" w:cs="Calibri"/>
          <w:b/>
          <w:i/>
        </w:rPr>
        <w:t>Efficiencies and Simplification Focus Area</w:t>
      </w:r>
    </w:p>
    <w:p w:rsidR="00713990" w:rsidRPr="003F65CB" w:rsidRDefault="008D2AA7">
      <w:pPr>
        <w:rPr>
          <w:rFonts w:asciiTheme="majorHAnsi" w:hAnsiTheme="majorHAnsi" w:cs="Calibri"/>
          <w:b/>
        </w:rPr>
      </w:pPr>
      <w:r w:rsidRPr="003F65CB">
        <w:rPr>
          <w:rFonts w:asciiTheme="majorHAnsi" w:hAnsiTheme="majorHAnsi" w:cs="Calibri"/>
          <w:b/>
        </w:rPr>
        <w:t xml:space="preserve">1.  </w:t>
      </w:r>
      <w:r w:rsidR="00713990" w:rsidRPr="003F65CB">
        <w:rPr>
          <w:rFonts w:asciiTheme="majorHAnsi" w:hAnsiTheme="majorHAnsi" w:cs="Calibri"/>
          <w:b/>
        </w:rPr>
        <w:t>Licensure and County Board Accreditation/National Accreditation</w:t>
      </w:r>
    </w:p>
    <w:p w:rsidR="00713990" w:rsidRPr="00A650CB" w:rsidRDefault="0027185A">
      <w:pPr>
        <w:rPr>
          <w:rFonts w:asciiTheme="majorHAnsi" w:hAnsiTheme="majorHAnsi" w:cs="Calibri"/>
        </w:rPr>
      </w:pPr>
      <w:r w:rsidRPr="00A650CB">
        <w:rPr>
          <w:rFonts w:asciiTheme="majorHAnsi" w:hAnsiTheme="majorHAnsi" w:cs="Calibri"/>
        </w:rPr>
        <w:t xml:space="preserve">The Partnership is continuing to pursue abbreviated reviews for county board accreditation and licensure.  Nancy Neely and Mark Davis are coordinating this effort for the Partnership.  </w:t>
      </w:r>
      <w:r w:rsidR="00B822E7" w:rsidRPr="00A650CB">
        <w:rPr>
          <w:rFonts w:asciiTheme="majorHAnsi" w:hAnsiTheme="majorHAnsi" w:cs="Calibri"/>
        </w:rPr>
        <w:t xml:space="preserve">The Partnership </w:t>
      </w:r>
      <w:r w:rsidR="005245C4" w:rsidRPr="00A650CB">
        <w:rPr>
          <w:rFonts w:asciiTheme="majorHAnsi" w:hAnsiTheme="majorHAnsi" w:cs="Calibri"/>
        </w:rPr>
        <w:t>recently agreed to</w:t>
      </w:r>
      <w:r w:rsidRPr="00A650CB">
        <w:rPr>
          <w:rFonts w:asciiTheme="majorHAnsi" w:hAnsiTheme="majorHAnsi" w:cs="Calibri"/>
        </w:rPr>
        <w:t xml:space="preserve"> send a letter to Director Martin, requesting a meeting to discuss making this effort a priority.  </w:t>
      </w:r>
    </w:p>
    <w:p w:rsidR="00B0573A" w:rsidRPr="003F65CB" w:rsidRDefault="00B0573A">
      <w:pPr>
        <w:rPr>
          <w:rFonts w:asciiTheme="majorHAnsi" w:hAnsiTheme="majorHAnsi" w:cs="Calibri"/>
        </w:rPr>
      </w:pPr>
    </w:p>
    <w:p w:rsidR="00507754" w:rsidRPr="00C10A16" w:rsidRDefault="00A40BC0">
      <w:pPr>
        <w:rPr>
          <w:rFonts w:asciiTheme="majorHAnsi" w:hAnsiTheme="majorHAnsi" w:cs="Calibri"/>
          <w:b/>
        </w:rPr>
      </w:pPr>
      <w:r w:rsidRPr="003F65CB">
        <w:rPr>
          <w:rFonts w:asciiTheme="majorHAnsi" w:hAnsiTheme="majorHAnsi" w:cs="Calibri"/>
          <w:b/>
        </w:rPr>
        <w:t xml:space="preserve">2.  </w:t>
      </w:r>
      <w:r w:rsidR="00752074" w:rsidRPr="003F65CB">
        <w:rPr>
          <w:rFonts w:asciiTheme="majorHAnsi" w:hAnsiTheme="majorHAnsi" w:cs="Calibri"/>
          <w:b/>
        </w:rPr>
        <w:t>Background Check</w:t>
      </w:r>
      <w:r w:rsidRPr="003F65CB">
        <w:rPr>
          <w:rFonts w:asciiTheme="majorHAnsi" w:hAnsiTheme="majorHAnsi" w:cs="Calibri"/>
          <w:b/>
        </w:rPr>
        <w:t>s -</w:t>
      </w:r>
      <w:r w:rsidR="00752074" w:rsidRPr="003F65CB">
        <w:rPr>
          <w:rFonts w:asciiTheme="majorHAnsi" w:hAnsiTheme="majorHAnsi" w:cs="Calibri"/>
          <w:b/>
        </w:rPr>
        <w:t xml:space="preserve"> Rap</w:t>
      </w:r>
      <w:r w:rsidR="00AA5EC1" w:rsidRPr="003F65CB">
        <w:rPr>
          <w:rFonts w:asciiTheme="majorHAnsi" w:hAnsiTheme="majorHAnsi" w:cs="Calibri"/>
          <w:b/>
        </w:rPr>
        <w:t>b</w:t>
      </w:r>
      <w:r w:rsidR="00752074" w:rsidRPr="003F65CB">
        <w:rPr>
          <w:rFonts w:asciiTheme="majorHAnsi" w:hAnsiTheme="majorHAnsi" w:cs="Calibri"/>
          <w:b/>
        </w:rPr>
        <w:t>ack</w:t>
      </w:r>
    </w:p>
    <w:p w:rsidR="00EA578E" w:rsidRPr="00676D0A" w:rsidRDefault="00A10FB3">
      <w:pPr>
        <w:rPr>
          <w:rFonts w:asciiTheme="majorHAnsi" w:hAnsiTheme="majorHAnsi" w:cs="Calibri"/>
          <w:color w:val="FF0000"/>
          <w:u w:val="single"/>
        </w:rPr>
      </w:pPr>
      <w:r w:rsidRPr="00676D0A">
        <w:rPr>
          <w:rFonts w:asciiTheme="majorHAnsi" w:hAnsiTheme="majorHAnsi" w:cs="Calibri"/>
        </w:rPr>
        <w:t xml:space="preserve">The </w:t>
      </w:r>
      <w:r w:rsidR="00BF4284" w:rsidRPr="00676D0A">
        <w:rPr>
          <w:rFonts w:asciiTheme="majorHAnsi" w:hAnsiTheme="majorHAnsi" w:cs="Calibri"/>
        </w:rPr>
        <w:t>Automated Registry Check System</w:t>
      </w:r>
      <w:r w:rsidR="00AA5EC1" w:rsidRPr="00676D0A">
        <w:rPr>
          <w:rFonts w:asciiTheme="majorHAnsi" w:hAnsiTheme="majorHAnsi" w:cs="Calibri"/>
        </w:rPr>
        <w:t xml:space="preserve"> </w:t>
      </w:r>
      <w:r w:rsidR="00BF4284" w:rsidRPr="00676D0A">
        <w:rPr>
          <w:rFonts w:asciiTheme="majorHAnsi" w:hAnsiTheme="majorHAnsi" w:cs="Calibri"/>
        </w:rPr>
        <w:t>(</w:t>
      </w:r>
      <w:r w:rsidR="00AA5EC1" w:rsidRPr="00676D0A">
        <w:rPr>
          <w:rFonts w:asciiTheme="majorHAnsi" w:hAnsiTheme="majorHAnsi" w:cs="Calibri"/>
        </w:rPr>
        <w:t>ARCS</w:t>
      </w:r>
      <w:r w:rsidR="00BF4284" w:rsidRPr="00676D0A">
        <w:rPr>
          <w:rFonts w:asciiTheme="majorHAnsi" w:hAnsiTheme="majorHAnsi" w:cs="Calibri"/>
        </w:rPr>
        <w:t>) is now available to all HCBS waiver providers in Ohio.  It is also available for ICF providers.  It is</w:t>
      </w:r>
      <w:r w:rsidR="00AA5EC1" w:rsidRPr="00676D0A">
        <w:rPr>
          <w:rFonts w:asciiTheme="majorHAnsi" w:hAnsiTheme="majorHAnsi" w:cs="Calibri"/>
        </w:rPr>
        <w:t xml:space="preserve"> one portal for providers to enter data for all registries.  The state is preparing to extend Rapback to DD and other providers</w:t>
      </w:r>
      <w:r w:rsidR="00BF4284" w:rsidRPr="00676D0A">
        <w:rPr>
          <w:rFonts w:asciiTheme="majorHAnsi" w:hAnsiTheme="majorHAnsi" w:cs="Calibri"/>
        </w:rPr>
        <w:t xml:space="preserve"> soon</w:t>
      </w:r>
      <w:r w:rsidR="00B37A1A" w:rsidRPr="00676D0A">
        <w:rPr>
          <w:rFonts w:asciiTheme="majorHAnsi" w:hAnsiTheme="majorHAnsi" w:cs="Calibri"/>
        </w:rPr>
        <w:t>.</w:t>
      </w:r>
      <w:r w:rsidR="00BF4284" w:rsidRPr="00676D0A">
        <w:rPr>
          <w:rFonts w:asciiTheme="majorHAnsi" w:hAnsiTheme="majorHAnsi" w:cs="Calibri"/>
        </w:rPr>
        <w:t xml:space="preserve"> </w:t>
      </w:r>
      <w:r w:rsidR="007D102E" w:rsidRPr="00676D0A">
        <w:rPr>
          <w:rFonts w:asciiTheme="majorHAnsi" w:hAnsiTheme="majorHAnsi" w:cs="Calibri"/>
        </w:rPr>
        <w:t>Several members have reported problems accessing the system. Although not widespread, ODM has been experiencing IT problems and is fixing issues one provider at a time.</w:t>
      </w:r>
      <w:r w:rsidR="00B96606" w:rsidRPr="00676D0A">
        <w:rPr>
          <w:rFonts w:asciiTheme="majorHAnsi" w:hAnsiTheme="majorHAnsi" w:cs="Calibri"/>
        </w:rPr>
        <w:t xml:space="preserve"> Anita is coordinating with ODM</w:t>
      </w:r>
      <w:r w:rsidR="00B96606">
        <w:rPr>
          <w:rFonts w:asciiTheme="majorHAnsi" w:hAnsiTheme="majorHAnsi" w:cs="Calibri"/>
          <w:color w:val="0070C0"/>
          <w:u w:val="single"/>
        </w:rPr>
        <w:t xml:space="preserve"> </w:t>
      </w:r>
      <w:r w:rsidR="00B96606" w:rsidRPr="00676D0A">
        <w:rPr>
          <w:rFonts w:asciiTheme="majorHAnsi" w:hAnsiTheme="majorHAnsi" w:cs="Calibri"/>
          <w:color w:val="FF0000"/>
          <w:u w:val="single"/>
        </w:rPr>
        <w:t>one member at a time. There have been a handful of issues in the past month.</w:t>
      </w:r>
    </w:p>
    <w:p w:rsidR="00857D94" w:rsidRPr="003F65CB" w:rsidRDefault="00857D94">
      <w:pPr>
        <w:rPr>
          <w:rFonts w:asciiTheme="majorHAnsi" w:hAnsiTheme="majorHAnsi" w:cs="Calibri"/>
        </w:rPr>
      </w:pPr>
    </w:p>
    <w:p w:rsidR="00FC420E" w:rsidRPr="003F65CB" w:rsidRDefault="00FC420E" w:rsidP="00FC420E">
      <w:pPr>
        <w:rPr>
          <w:rFonts w:asciiTheme="majorHAnsi" w:hAnsiTheme="majorHAnsi"/>
        </w:rPr>
      </w:pPr>
      <w:r w:rsidRPr="003F65CB">
        <w:rPr>
          <w:rFonts w:asciiTheme="majorHAnsi" w:hAnsiTheme="majorHAnsi"/>
          <w:b/>
        </w:rPr>
        <w:t>3.  SSA and Program Management</w:t>
      </w:r>
    </w:p>
    <w:p w:rsidR="00FC420E" w:rsidRPr="003658C0" w:rsidRDefault="009756CF" w:rsidP="00FC420E">
      <w:pPr>
        <w:rPr>
          <w:rFonts w:asciiTheme="majorHAnsi" w:hAnsiTheme="majorHAnsi"/>
          <w:color w:val="FF0000"/>
          <w:u w:val="single"/>
        </w:rPr>
      </w:pPr>
      <w:r>
        <w:rPr>
          <w:rFonts w:asciiTheme="majorHAnsi" w:hAnsiTheme="majorHAnsi"/>
        </w:rPr>
        <w:t xml:space="preserve">CMS has informed DODD that an end date is needed, for county boards to discontinue delivering HCBS as the boards also deliver TCM.  </w:t>
      </w:r>
      <w:r w:rsidR="00081F72">
        <w:rPr>
          <w:rFonts w:asciiTheme="majorHAnsi" w:hAnsiTheme="majorHAnsi"/>
        </w:rPr>
        <w:t xml:space="preserve">It is expected that DODD will attempt to negotiate a </w:t>
      </w:r>
      <w:proofErr w:type="gramStart"/>
      <w:r w:rsidR="00081F72">
        <w:rPr>
          <w:rFonts w:asciiTheme="majorHAnsi" w:hAnsiTheme="majorHAnsi"/>
        </w:rPr>
        <w:t>10 year</w:t>
      </w:r>
      <w:proofErr w:type="gramEnd"/>
      <w:r w:rsidR="00081F72">
        <w:rPr>
          <w:rFonts w:asciiTheme="majorHAnsi" w:hAnsiTheme="majorHAnsi"/>
        </w:rPr>
        <w:t xml:space="preserve"> timeta</w:t>
      </w:r>
      <w:r w:rsidR="00081F72" w:rsidRPr="00676D0A">
        <w:rPr>
          <w:rFonts w:asciiTheme="majorHAnsi" w:hAnsiTheme="majorHAnsi"/>
        </w:rPr>
        <w:t xml:space="preserve">ble for county boards to be out of delivering HBCS.  </w:t>
      </w:r>
    </w:p>
    <w:p w:rsidR="00FD0380" w:rsidRPr="003F65CB" w:rsidRDefault="00FD0380" w:rsidP="00FC420E">
      <w:pPr>
        <w:rPr>
          <w:rFonts w:asciiTheme="majorHAnsi" w:hAnsiTheme="majorHAnsi"/>
          <w:b/>
          <w:u w:val="single"/>
        </w:rPr>
      </w:pPr>
    </w:p>
    <w:p w:rsidR="00FC420E" w:rsidRPr="00C311B4" w:rsidRDefault="00FC420E" w:rsidP="00FC420E">
      <w:pPr>
        <w:rPr>
          <w:rFonts w:asciiTheme="majorHAnsi" w:hAnsiTheme="majorHAnsi"/>
        </w:rPr>
      </w:pPr>
      <w:r w:rsidRPr="00C311B4">
        <w:rPr>
          <w:rFonts w:asciiTheme="majorHAnsi" w:hAnsiTheme="majorHAnsi"/>
          <w:b/>
        </w:rPr>
        <w:t>4.  Behavior Support Rule</w:t>
      </w:r>
    </w:p>
    <w:p w:rsidR="00C311B4" w:rsidRPr="00075A72" w:rsidRDefault="007D102E" w:rsidP="00C311B4">
      <w:pPr>
        <w:rPr>
          <w:rFonts w:asciiTheme="majorHAnsi" w:hAnsiTheme="majorHAnsi"/>
          <w:color w:val="FF0000"/>
          <w:u w:val="single"/>
        </w:rPr>
      </w:pPr>
      <w:r w:rsidRPr="00075A72">
        <w:rPr>
          <w:rFonts w:asciiTheme="majorHAnsi" w:hAnsiTheme="majorHAnsi"/>
        </w:rPr>
        <w:t>OADSP has developed a training curriculum and training dates have been set through April. DODD will also be offering webinars.</w:t>
      </w:r>
      <w:r w:rsidR="00075A72" w:rsidRPr="00075A72">
        <w:rPr>
          <w:rFonts w:asciiTheme="majorHAnsi" w:hAnsiTheme="majorHAnsi"/>
          <w:color w:val="0070C0"/>
          <w:u w:val="single"/>
        </w:rPr>
        <w:t xml:space="preserve"> </w:t>
      </w:r>
      <w:r w:rsidR="00075A72" w:rsidRPr="00075A72">
        <w:rPr>
          <w:rFonts w:asciiTheme="majorHAnsi" w:hAnsiTheme="majorHAnsi"/>
        </w:rPr>
        <w:t>“Preview” training sessions brought to light issues that will conflict with ICF regs. Kate Haller will be the point person when there are conflicting citations and will coordinate efforts with ODH.</w:t>
      </w:r>
      <w:r>
        <w:rPr>
          <w:rFonts w:asciiTheme="majorHAnsi" w:hAnsiTheme="majorHAnsi"/>
          <w:color w:val="0070C0"/>
          <w:u w:val="single"/>
        </w:rPr>
        <w:t xml:space="preserve"> </w:t>
      </w:r>
      <w:r w:rsidR="00B96606" w:rsidRPr="00075A72">
        <w:rPr>
          <w:rFonts w:asciiTheme="majorHAnsi" w:hAnsiTheme="majorHAnsi"/>
          <w:color w:val="FF0000"/>
          <w:u w:val="single"/>
        </w:rPr>
        <w:t xml:space="preserve">We have received inquiries from members on the content of the training sessions, specifically around rights restrictions/access to food and the involvement of the guardians. DODD sent out a memo clarifying the use of the behavior add-on. The language is more direct than previous versions and will allow for an increased use of the add-on. </w:t>
      </w:r>
    </w:p>
    <w:p w:rsidR="00AC6D58" w:rsidRPr="00C311B4" w:rsidRDefault="00AC6D58" w:rsidP="00FC420E">
      <w:pPr>
        <w:rPr>
          <w:rFonts w:asciiTheme="majorHAnsi" w:hAnsiTheme="majorHAnsi"/>
        </w:rPr>
      </w:pPr>
    </w:p>
    <w:p w:rsidR="00FC420E" w:rsidRPr="00C311B4" w:rsidRDefault="00FC420E" w:rsidP="00FC420E">
      <w:pPr>
        <w:rPr>
          <w:rFonts w:asciiTheme="majorHAnsi" w:hAnsiTheme="majorHAnsi"/>
          <w:b/>
        </w:rPr>
      </w:pPr>
      <w:r w:rsidRPr="00C311B4">
        <w:rPr>
          <w:rFonts w:asciiTheme="majorHAnsi" w:hAnsiTheme="majorHAnsi"/>
          <w:b/>
        </w:rPr>
        <w:t xml:space="preserve">5.  </w:t>
      </w:r>
      <w:r w:rsidR="001A6157">
        <w:rPr>
          <w:rFonts w:asciiTheme="majorHAnsi" w:hAnsiTheme="majorHAnsi"/>
          <w:b/>
        </w:rPr>
        <w:t>Threshold for Exempt Status</w:t>
      </w:r>
    </w:p>
    <w:p w:rsidR="00511311" w:rsidRPr="00D34B7D" w:rsidRDefault="003B3EAC" w:rsidP="00FC420E">
      <w:pPr>
        <w:rPr>
          <w:rFonts w:asciiTheme="majorHAnsi" w:hAnsiTheme="majorHAnsi"/>
          <w:color w:val="FF0000"/>
          <w:u w:val="single"/>
        </w:rPr>
      </w:pPr>
      <w:r>
        <w:rPr>
          <w:rFonts w:asciiTheme="majorHAnsi" w:hAnsiTheme="majorHAnsi"/>
        </w:rPr>
        <w:t>The US DOL is expected to release a proposed rule</w:t>
      </w:r>
      <w:r w:rsidR="00C64829">
        <w:rPr>
          <w:rFonts w:asciiTheme="majorHAnsi" w:hAnsiTheme="majorHAnsi"/>
        </w:rPr>
        <w:t xml:space="preserve">.  ANCOR will respond according to the content of that rule.  </w:t>
      </w:r>
      <w:r w:rsidR="00AD3F0A" w:rsidRPr="00F13114">
        <w:rPr>
          <w:rFonts w:asciiTheme="majorHAnsi" w:hAnsiTheme="majorHAnsi"/>
        </w:rPr>
        <w:t xml:space="preserve">As part of an ANCOR contingency, </w:t>
      </w:r>
      <w:r w:rsidR="00C237A0" w:rsidRPr="00F13114">
        <w:rPr>
          <w:rFonts w:asciiTheme="majorHAnsi" w:hAnsiTheme="majorHAnsi"/>
        </w:rPr>
        <w:t xml:space="preserve">Than Johnson and </w:t>
      </w:r>
      <w:r w:rsidR="001A6157" w:rsidRPr="00F13114">
        <w:rPr>
          <w:rFonts w:asciiTheme="majorHAnsi" w:hAnsiTheme="majorHAnsi"/>
        </w:rPr>
        <w:t>Mark Davis met</w:t>
      </w:r>
      <w:r w:rsidR="00C237A0" w:rsidRPr="00F13114">
        <w:rPr>
          <w:rFonts w:asciiTheme="majorHAnsi" w:hAnsiTheme="majorHAnsi"/>
        </w:rPr>
        <w:t xml:space="preserve"> with the US DOL</w:t>
      </w:r>
      <w:r w:rsidR="001A6157" w:rsidRPr="00F13114">
        <w:rPr>
          <w:rFonts w:asciiTheme="majorHAnsi" w:hAnsiTheme="majorHAnsi"/>
        </w:rPr>
        <w:t>.  The DOL is considering changing their regulations to increase the $455 weekly threshold for exempt status.  OPRA presented data from the salary survey a</w:t>
      </w:r>
      <w:r w:rsidR="00073204" w:rsidRPr="00F13114">
        <w:rPr>
          <w:rFonts w:asciiTheme="majorHAnsi" w:hAnsiTheme="majorHAnsi"/>
        </w:rPr>
        <w:t xml:space="preserve">nd </w:t>
      </w:r>
      <w:r w:rsidR="00B96606" w:rsidRPr="00F13114">
        <w:rPr>
          <w:rFonts w:asciiTheme="majorHAnsi" w:hAnsiTheme="majorHAnsi"/>
        </w:rPr>
        <w:t>members that</w:t>
      </w:r>
      <w:r w:rsidR="00073204" w:rsidRPr="00F13114">
        <w:rPr>
          <w:rFonts w:asciiTheme="majorHAnsi" w:hAnsiTheme="majorHAnsi"/>
        </w:rPr>
        <w:t xml:space="preserve"> indicated a</w:t>
      </w:r>
      <w:r w:rsidR="001A6157" w:rsidRPr="00F13114">
        <w:rPr>
          <w:rFonts w:asciiTheme="majorHAnsi" w:hAnsiTheme="majorHAnsi"/>
        </w:rPr>
        <w:t xml:space="preserve"> cut in DSP wages if DOL pursued this course.</w:t>
      </w:r>
    </w:p>
    <w:p w:rsidR="00511311" w:rsidRDefault="00511311" w:rsidP="00FC420E">
      <w:pPr>
        <w:rPr>
          <w:rFonts w:asciiTheme="majorHAnsi" w:hAnsiTheme="majorHAnsi"/>
        </w:rPr>
      </w:pPr>
    </w:p>
    <w:p w:rsidR="00FC420E" w:rsidRPr="00C311B4" w:rsidRDefault="00B575F9" w:rsidP="00FC420E">
      <w:pPr>
        <w:rPr>
          <w:rFonts w:asciiTheme="majorHAnsi" w:hAnsiTheme="majorHAnsi"/>
          <w:b/>
        </w:rPr>
      </w:pPr>
      <w:r w:rsidRPr="00C311B4">
        <w:rPr>
          <w:rFonts w:asciiTheme="majorHAnsi" w:hAnsiTheme="majorHAnsi"/>
          <w:b/>
        </w:rPr>
        <w:t>6</w:t>
      </w:r>
      <w:r w:rsidR="00FC420E" w:rsidRPr="00C311B4">
        <w:rPr>
          <w:rFonts w:asciiTheme="majorHAnsi" w:hAnsiTheme="majorHAnsi"/>
          <w:b/>
        </w:rPr>
        <w:t>.  Video Conferencing</w:t>
      </w:r>
    </w:p>
    <w:p w:rsidR="008E5A26" w:rsidRPr="004D3BE6" w:rsidRDefault="004014C2" w:rsidP="00FC420E">
      <w:pPr>
        <w:rPr>
          <w:rFonts w:asciiTheme="majorHAnsi" w:hAnsiTheme="majorHAnsi"/>
        </w:rPr>
      </w:pPr>
      <w:r w:rsidRPr="004D3BE6">
        <w:rPr>
          <w:rFonts w:asciiTheme="majorHAnsi" w:hAnsiTheme="majorHAnsi"/>
        </w:rPr>
        <w:t>We are researching other options that are less expensive. Our contract with Blue Jeans expires in August of 2015.</w:t>
      </w:r>
      <w:r w:rsidR="00353F52" w:rsidRPr="004D3BE6">
        <w:rPr>
          <w:rFonts w:asciiTheme="majorHAnsi" w:hAnsiTheme="majorHAnsi"/>
        </w:rPr>
        <w:t xml:space="preserve">  </w:t>
      </w:r>
    </w:p>
    <w:p w:rsidR="004014C2" w:rsidRPr="00C311B4" w:rsidRDefault="004014C2" w:rsidP="00FC420E">
      <w:pPr>
        <w:rPr>
          <w:rFonts w:asciiTheme="majorHAnsi" w:hAnsiTheme="majorHAnsi" w:cs="Calibri"/>
          <w:strike/>
        </w:rPr>
      </w:pPr>
    </w:p>
    <w:p w:rsidR="008E5A26" w:rsidRPr="00C311B4" w:rsidRDefault="00B575F9" w:rsidP="00FC420E">
      <w:pPr>
        <w:rPr>
          <w:rFonts w:asciiTheme="majorHAnsi" w:hAnsiTheme="majorHAnsi" w:cs="Calibri"/>
        </w:rPr>
      </w:pPr>
      <w:r w:rsidRPr="00C311B4">
        <w:rPr>
          <w:rFonts w:asciiTheme="majorHAnsi" w:hAnsiTheme="majorHAnsi" w:cs="Calibri"/>
          <w:b/>
        </w:rPr>
        <w:t>7</w:t>
      </w:r>
      <w:r w:rsidR="008E5A26" w:rsidRPr="00C311B4">
        <w:rPr>
          <w:rFonts w:asciiTheme="majorHAnsi" w:hAnsiTheme="majorHAnsi" w:cs="Calibri"/>
          <w:b/>
        </w:rPr>
        <w:t>.</w:t>
      </w:r>
      <w:r w:rsidR="008E5A26" w:rsidRPr="00C311B4">
        <w:rPr>
          <w:rFonts w:asciiTheme="majorHAnsi" w:hAnsiTheme="majorHAnsi" w:cs="Calibri"/>
        </w:rPr>
        <w:t xml:space="preserve">  </w:t>
      </w:r>
      <w:r w:rsidR="008E5A26" w:rsidRPr="00C311B4">
        <w:rPr>
          <w:rFonts w:asciiTheme="majorHAnsi" w:hAnsiTheme="majorHAnsi" w:cs="Calibri"/>
          <w:b/>
        </w:rPr>
        <w:t>ODH and DODD Streamlining</w:t>
      </w:r>
    </w:p>
    <w:p w:rsidR="000A57EC" w:rsidRPr="00C311B4" w:rsidRDefault="00FB1681" w:rsidP="000A57EC">
      <w:pPr>
        <w:rPr>
          <w:rFonts w:asciiTheme="majorHAnsi" w:hAnsiTheme="majorHAnsi" w:cs="Calibri"/>
        </w:rPr>
      </w:pPr>
      <w:r w:rsidRPr="00C311B4">
        <w:rPr>
          <w:rFonts w:asciiTheme="majorHAnsi" w:hAnsiTheme="majorHAnsi" w:cs="Calibri"/>
        </w:rPr>
        <w:t>No Update.</w:t>
      </w:r>
    </w:p>
    <w:p w:rsidR="006F5B5A" w:rsidRPr="00C311B4" w:rsidRDefault="006F5B5A">
      <w:pPr>
        <w:rPr>
          <w:rFonts w:asciiTheme="majorHAnsi" w:hAnsiTheme="majorHAnsi" w:cs="Calibri"/>
        </w:rPr>
      </w:pPr>
    </w:p>
    <w:p w:rsidR="00821EA6" w:rsidRPr="00C311B4" w:rsidRDefault="007D1DDA" w:rsidP="00821EA6">
      <w:pPr>
        <w:rPr>
          <w:rFonts w:asciiTheme="majorHAnsi" w:hAnsiTheme="majorHAnsi"/>
          <w:b/>
          <w:i/>
        </w:rPr>
      </w:pPr>
      <w:r w:rsidRPr="00C311B4">
        <w:rPr>
          <w:rFonts w:asciiTheme="majorHAnsi" w:hAnsiTheme="majorHAnsi"/>
          <w:b/>
          <w:i/>
        </w:rPr>
        <w:t xml:space="preserve">B.  </w:t>
      </w:r>
      <w:r w:rsidR="00C97F54" w:rsidRPr="00C311B4">
        <w:rPr>
          <w:rFonts w:asciiTheme="majorHAnsi" w:hAnsiTheme="majorHAnsi"/>
          <w:b/>
          <w:i/>
        </w:rPr>
        <w:t>Workforce Sustainability</w:t>
      </w:r>
      <w:r w:rsidR="00514A74" w:rsidRPr="00C311B4">
        <w:rPr>
          <w:rFonts w:asciiTheme="majorHAnsi" w:hAnsiTheme="majorHAnsi"/>
          <w:b/>
          <w:i/>
        </w:rPr>
        <w:t xml:space="preserve"> </w:t>
      </w:r>
      <w:r w:rsidR="00E218D8">
        <w:rPr>
          <w:rFonts w:asciiTheme="majorHAnsi" w:hAnsiTheme="majorHAnsi"/>
          <w:b/>
          <w:i/>
        </w:rPr>
        <w:t xml:space="preserve">and Quality </w:t>
      </w:r>
      <w:r w:rsidR="00514A74" w:rsidRPr="00C311B4">
        <w:rPr>
          <w:rFonts w:asciiTheme="majorHAnsi" w:hAnsiTheme="majorHAnsi"/>
          <w:b/>
          <w:i/>
        </w:rPr>
        <w:t>Focus Area</w:t>
      </w:r>
    </w:p>
    <w:p w:rsidR="006A468A" w:rsidRPr="00C311B4" w:rsidRDefault="007D1DDA" w:rsidP="00C10A16">
      <w:pPr>
        <w:widowControl w:val="0"/>
        <w:autoSpaceDE w:val="0"/>
        <w:autoSpaceDN w:val="0"/>
        <w:adjustRightInd w:val="0"/>
        <w:rPr>
          <w:rFonts w:asciiTheme="majorHAnsi" w:hAnsiTheme="majorHAnsi" w:cs="Times New Roman"/>
        </w:rPr>
      </w:pPr>
      <w:r w:rsidRPr="00C311B4">
        <w:rPr>
          <w:rFonts w:asciiTheme="majorHAnsi" w:hAnsiTheme="majorHAnsi" w:cs="Calibri"/>
          <w:b/>
          <w:bCs/>
        </w:rPr>
        <w:t>1.  Waiver Pilot</w:t>
      </w:r>
    </w:p>
    <w:p w:rsidR="0022443A" w:rsidRDefault="0022443A" w:rsidP="00E40492">
      <w:pPr>
        <w:rPr>
          <w:rFonts w:asciiTheme="majorHAnsi" w:hAnsiTheme="majorHAnsi" w:cs="Calibri"/>
        </w:rPr>
      </w:pPr>
      <w:r>
        <w:rPr>
          <w:rFonts w:asciiTheme="majorHAnsi" w:hAnsiTheme="majorHAnsi" w:cs="Calibri"/>
        </w:rPr>
        <w:t>No update.</w:t>
      </w:r>
    </w:p>
    <w:p w:rsidR="0022443A" w:rsidRDefault="0022443A" w:rsidP="00E40492">
      <w:pPr>
        <w:rPr>
          <w:rFonts w:asciiTheme="majorHAnsi" w:hAnsiTheme="majorHAnsi" w:cs="Calibri"/>
        </w:rPr>
      </w:pPr>
    </w:p>
    <w:p w:rsidR="0013416D" w:rsidRPr="00C311B4" w:rsidRDefault="0013416D" w:rsidP="00E40492">
      <w:pPr>
        <w:rPr>
          <w:rFonts w:asciiTheme="majorHAnsi" w:hAnsiTheme="majorHAnsi"/>
          <w:b/>
          <w:i/>
        </w:rPr>
      </w:pPr>
      <w:r w:rsidRPr="00C311B4">
        <w:rPr>
          <w:rFonts w:asciiTheme="majorHAnsi" w:hAnsiTheme="majorHAnsi"/>
          <w:b/>
          <w:i/>
        </w:rPr>
        <w:t xml:space="preserve">C.  </w:t>
      </w:r>
      <w:r w:rsidR="009A55EE">
        <w:rPr>
          <w:rFonts w:asciiTheme="majorHAnsi" w:hAnsiTheme="majorHAnsi"/>
          <w:b/>
          <w:i/>
        </w:rPr>
        <w:t>Compassionate and Accountable System Reform</w:t>
      </w:r>
      <w:r w:rsidR="00514A74" w:rsidRPr="00C311B4">
        <w:rPr>
          <w:rFonts w:asciiTheme="majorHAnsi" w:hAnsiTheme="majorHAnsi"/>
          <w:b/>
          <w:i/>
        </w:rPr>
        <w:t xml:space="preserve"> Focus Area</w:t>
      </w:r>
    </w:p>
    <w:p w:rsidR="00225BCE" w:rsidRPr="004328DA" w:rsidRDefault="00993A11">
      <w:pPr>
        <w:rPr>
          <w:rFonts w:asciiTheme="majorHAnsi" w:hAnsiTheme="majorHAnsi" w:cs="Calibri"/>
        </w:rPr>
      </w:pPr>
      <w:r w:rsidRPr="00C311B4">
        <w:rPr>
          <w:rFonts w:asciiTheme="majorHAnsi" w:hAnsiTheme="majorHAnsi" w:cs="Calibri"/>
          <w:b/>
        </w:rPr>
        <w:t>1.  Health Home Projec</w:t>
      </w:r>
      <w:r w:rsidR="000C053E" w:rsidRPr="00C311B4">
        <w:rPr>
          <w:rFonts w:asciiTheme="majorHAnsi" w:hAnsiTheme="majorHAnsi" w:cs="Calibri"/>
          <w:b/>
        </w:rPr>
        <w:t>t</w:t>
      </w:r>
    </w:p>
    <w:p w:rsidR="004328DA" w:rsidRPr="009B2DB0" w:rsidRDefault="009B2DB0" w:rsidP="005E7EC1">
      <w:pPr>
        <w:rPr>
          <w:rFonts w:asciiTheme="majorHAnsi" w:hAnsiTheme="majorHAnsi"/>
          <w:color w:val="FF0000"/>
          <w:u w:val="single"/>
        </w:rPr>
      </w:pPr>
      <w:r w:rsidRPr="009B2DB0">
        <w:rPr>
          <w:rFonts w:asciiTheme="majorHAnsi" w:hAnsiTheme="majorHAnsi"/>
          <w:color w:val="FF0000"/>
          <w:u w:val="single"/>
        </w:rPr>
        <w:t>We are evaluating our strategy moving forward.  It may be best to pursue an integrated, coordinated system of care rather than an IDD-specific health home.</w:t>
      </w:r>
    </w:p>
    <w:p w:rsidR="00AD2A5B" w:rsidRPr="00C311B4" w:rsidRDefault="00AD2A5B" w:rsidP="000F1671">
      <w:pPr>
        <w:widowControl w:val="0"/>
        <w:autoSpaceDE w:val="0"/>
        <w:autoSpaceDN w:val="0"/>
        <w:adjustRightInd w:val="0"/>
        <w:rPr>
          <w:rFonts w:asciiTheme="majorHAnsi" w:hAnsiTheme="majorHAnsi" w:cs="Calibri"/>
        </w:rPr>
      </w:pPr>
    </w:p>
    <w:p w:rsidR="00C121E8" w:rsidRPr="00C311B4" w:rsidRDefault="009B2DB0" w:rsidP="00C121E8">
      <w:pPr>
        <w:widowControl w:val="0"/>
        <w:autoSpaceDE w:val="0"/>
        <w:autoSpaceDN w:val="0"/>
        <w:adjustRightInd w:val="0"/>
        <w:rPr>
          <w:rFonts w:ascii="Calibri" w:hAnsi="Calibri" w:cs="Calibri"/>
          <w:b/>
        </w:rPr>
      </w:pPr>
      <w:r>
        <w:rPr>
          <w:rFonts w:ascii="Calibri" w:hAnsi="Calibri" w:cs="Calibri"/>
          <w:b/>
        </w:rPr>
        <w:t>2</w:t>
      </w:r>
      <w:r w:rsidR="00C121E8" w:rsidRPr="00C311B4">
        <w:rPr>
          <w:rFonts w:ascii="Calibri" w:hAnsi="Calibri" w:cs="Calibri"/>
          <w:b/>
        </w:rPr>
        <w:t>.  Adult Foster Care (Shared Living Services)</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Calibri"/>
        </w:rPr>
        <w:t> </w:t>
      </w:r>
    </w:p>
    <w:p w:rsidR="00D63951" w:rsidRPr="00C24C2A" w:rsidRDefault="00C121E8" w:rsidP="00D63951">
      <w:pPr>
        <w:widowControl w:val="0"/>
        <w:autoSpaceDE w:val="0"/>
        <w:autoSpaceDN w:val="0"/>
        <w:adjustRightInd w:val="0"/>
        <w:rPr>
          <w:rFonts w:asciiTheme="majorHAnsi" w:hAnsiTheme="majorHAnsi" w:cs="Verdana"/>
        </w:rPr>
      </w:pPr>
      <w:r w:rsidRPr="00C24C2A">
        <w:rPr>
          <w:rFonts w:asciiTheme="majorHAnsi" w:hAnsiTheme="majorHAnsi" w:cs="Verdana"/>
        </w:rPr>
        <w:t xml:space="preserve">DODD asked OPRA to lead a workgroup of system stakeholders to identify ways to increase the use of Adult Foster Care statewide. During the June 16, 2014, meeting at Goodwill/ Columbus, hosted by OPRA, committee members discussed the need for </w:t>
      </w:r>
      <w:r w:rsidRPr="00C24C2A">
        <w:rPr>
          <w:rFonts w:asciiTheme="majorHAnsi" w:hAnsiTheme="majorHAnsi" w:cs="Verdana"/>
          <w:i/>
          <w:iCs/>
        </w:rPr>
        <w:t xml:space="preserve">clear messaging </w:t>
      </w:r>
      <w:r w:rsidRPr="00C24C2A">
        <w:rPr>
          <w:rFonts w:asciiTheme="majorHAnsi" w:hAnsiTheme="majorHAnsi" w:cs="Verdana"/>
        </w:rPr>
        <w:t xml:space="preserve">regarding the re-branding of Adult Foster Care (AFC) services, and the </w:t>
      </w:r>
      <w:r w:rsidRPr="00C24C2A">
        <w:rPr>
          <w:rFonts w:asciiTheme="majorHAnsi" w:hAnsiTheme="majorHAnsi" w:cs="Verdana"/>
          <w:i/>
          <w:iCs/>
        </w:rPr>
        <w:t>change in terminology</w:t>
      </w:r>
      <w:r w:rsidRPr="00C24C2A">
        <w:rPr>
          <w:rFonts w:asciiTheme="majorHAnsi" w:hAnsiTheme="majorHAnsi" w:cs="Verdana"/>
        </w:rPr>
        <w:t xml:space="preserve"> needed to move away from AFC to a new name for the services, </w:t>
      </w:r>
    </w:p>
    <w:p w:rsidR="00D63951" w:rsidRPr="00C24C2A" w:rsidRDefault="00D63951" w:rsidP="00D63951">
      <w:pPr>
        <w:widowControl w:val="0"/>
        <w:autoSpaceDE w:val="0"/>
        <w:autoSpaceDN w:val="0"/>
        <w:adjustRightInd w:val="0"/>
        <w:rPr>
          <w:rFonts w:asciiTheme="majorHAnsi" w:hAnsiTheme="majorHAnsi" w:cs="Calibri"/>
        </w:rPr>
      </w:pPr>
      <w:r w:rsidRPr="00C24C2A">
        <w:rPr>
          <w:rFonts w:asciiTheme="majorHAnsi" w:hAnsiTheme="majorHAnsi" w:cs="Calibri"/>
        </w:rPr>
        <w:t xml:space="preserve">We now have 18 counties who have indicated an interest in working with us. We are in the process of setting up meetings with those counties </w:t>
      </w:r>
      <w:proofErr w:type="gramStart"/>
      <w:r w:rsidRPr="00C24C2A">
        <w:rPr>
          <w:rFonts w:asciiTheme="majorHAnsi" w:hAnsiTheme="majorHAnsi" w:cs="Calibri"/>
        </w:rPr>
        <w:t>an interested providers</w:t>
      </w:r>
      <w:proofErr w:type="gramEnd"/>
      <w:r w:rsidRPr="00C24C2A">
        <w:rPr>
          <w:rFonts w:asciiTheme="majorHAnsi" w:hAnsiTheme="majorHAnsi" w:cs="Calibri"/>
        </w:rPr>
        <w:t>. Our goal is to create working relationships between providers and the individual counties to allow a proactive approach to matching individuals with potential new waivers. </w:t>
      </w:r>
    </w:p>
    <w:p w:rsidR="00C121E8" w:rsidRPr="00C24C2A" w:rsidRDefault="00C121E8" w:rsidP="00C121E8">
      <w:pPr>
        <w:widowControl w:val="0"/>
        <w:autoSpaceDE w:val="0"/>
        <w:autoSpaceDN w:val="0"/>
        <w:adjustRightInd w:val="0"/>
        <w:rPr>
          <w:rFonts w:asciiTheme="majorHAnsi" w:hAnsiTheme="majorHAnsi" w:cs="Calibri"/>
        </w:rPr>
      </w:pPr>
      <w:r w:rsidRPr="00C24C2A">
        <w:rPr>
          <w:rFonts w:asciiTheme="majorHAnsi" w:hAnsiTheme="majorHAnsi" w:cs="Verdana"/>
        </w:rPr>
        <w:t> </w:t>
      </w:r>
    </w:p>
    <w:p w:rsidR="00C121E8" w:rsidRPr="00C311B4" w:rsidRDefault="00D34B7D" w:rsidP="00C121E8">
      <w:pPr>
        <w:widowControl w:val="0"/>
        <w:autoSpaceDE w:val="0"/>
        <w:autoSpaceDN w:val="0"/>
        <w:adjustRightInd w:val="0"/>
        <w:rPr>
          <w:rFonts w:asciiTheme="majorHAnsi" w:hAnsiTheme="majorHAnsi" w:cs="Calibri"/>
          <w:b/>
        </w:rPr>
      </w:pPr>
      <w:r>
        <w:rPr>
          <w:rFonts w:asciiTheme="majorHAnsi" w:hAnsiTheme="majorHAnsi" w:cs="Verdana"/>
          <w:b/>
        </w:rPr>
        <w:t>3</w:t>
      </w:r>
      <w:r w:rsidR="009F3A4D" w:rsidRPr="00C311B4">
        <w:rPr>
          <w:rFonts w:asciiTheme="majorHAnsi" w:hAnsiTheme="majorHAnsi" w:cs="Verdana"/>
          <w:b/>
        </w:rPr>
        <w:t xml:space="preserve">.  </w:t>
      </w:r>
      <w:r w:rsidR="00C121E8" w:rsidRPr="00C311B4">
        <w:rPr>
          <w:rFonts w:asciiTheme="majorHAnsi" w:hAnsiTheme="majorHAnsi" w:cs="Verdana"/>
          <w:b/>
        </w:rPr>
        <w:t>Building System Capacity for Individuals Experiencing Intense Challenges.</w:t>
      </w:r>
    </w:p>
    <w:p w:rsidR="00995052" w:rsidRPr="00C311B4" w:rsidRDefault="00995052" w:rsidP="00C121E8">
      <w:pPr>
        <w:widowControl w:val="0"/>
        <w:autoSpaceDE w:val="0"/>
        <w:autoSpaceDN w:val="0"/>
        <w:adjustRightInd w:val="0"/>
        <w:rPr>
          <w:rFonts w:asciiTheme="majorHAnsi" w:hAnsiTheme="majorHAnsi" w:cs="Verdana"/>
        </w:rPr>
      </w:pPr>
      <w:r w:rsidRPr="00C311B4">
        <w:rPr>
          <w:rFonts w:asciiTheme="majorHAnsi" w:hAnsiTheme="majorHAnsi" w:cs="Verdana"/>
        </w:rPr>
        <w:t>No Update.</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C121E8" w:rsidRPr="00C311B4" w:rsidRDefault="00D34B7D" w:rsidP="00C121E8">
      <w:pPr>
        <w:widowControl w:val="0"/>
        <w:autoSpaceDE w:val="0"/>
        <w:autoSpaceDN w:val="0"/>
        <w:adjustRightInd w:val="0"/>
        <w:rPr>
          <w:rFonts w:asciiTheme="majorHAnsi" w:hAnsiTheme="majorHAnsi" w:cs="Calibri"/>
          <w:b/>
        </w:rPr>
      </w:pPr>
      <w:r>
        <w:rPr>
          <w:rFonts w:asciiTheme="majorHAnsi" w:hAnsiTheme="majorHAnsi" w:cs="Verdana"/>
          <w:b/>
        </w:rPr>
        <w:t>4</w:t>
      </w:r>
      <w:r w:rsidR="009F3A4D" w:rsidRPr="00C311B4">
        <w:rPr>
          <w:rFonts w:asciiTheme="majorHAnsi" w:hAnsiTheme="majorHAnsi" w:cs="Verdana"/>
          <w:b/>
        </w:rPr>
        <w:t xml:space="preserve">.  </w:t>
      </w:r>
      <w:r w:rsidR="00C121E8" w:rsidRPr="00C311B4">
        <w:rPr>
          <w:rFonts w:asciiTheme="majorHAnsi" w:hAnsiTheme="majorHAnsi" w:cs="Verdana"/>
          <w:b/>
        </w:rPr>
        <w:t>Trauma Informed Care</w:t>
      </w:r>
    </w:p>
    <w:p w:rsidR="00C46CAB" w:rsidRPr="00314AF1" w:rsidRDefault="00C46CAB" w:rsidP="00C46CAB">
      <w:pPr>
        <w:widowControl w:val="0"/>
        <w:autoSpaceDE w:val="0"/>
        <w:autoSpaceDN w:val="0"/>
        <w:adjustRightInd w:val="0"/>
        <w:rPr>
          <w:rFonts w:asciiTheme="majorHAnsi" w:hAnsiTheme="majorHAnsi" w:cs="Calibri"/>
          <w:color w:val="FF0000"/>
          <w:u w:val="single"/>
        </w:rPr>
      </w:pPr>
      <w:r w:rsidRPr="00C24C2A">
        <w:rPr>
          <w:rFonts w:asciiTheme="majorHAnsi" w:hAnsiTheme="majorHAnsi" w:cs="Calibri"/>
        </w:rPr>
        <w:t xml:space="preserve">DODD is sponsoring several training sessions over the next few months. The first one is full. </w:t>
      </w:r>
      <w:proofErr w:type="gramStart"/>
      <w:r w:rsidRPr="00C24C2A">
        <w:rPr>
          <w:rFonts w:asciiTheme="majorHAnsi" w:hAnsiTheme="majorHAnsi" w:cs="Calibri"/>
        </w:rPr>
        <w:t>Nursing and Social work credits available.</w:t>
      </w:r>
      <w:proofErr w:type="gramEnd"/>
      <w:r w:rsidR="007D102E" w:rsidRPr="00C24C2A">
        <w:rPr>
          <w:rFonts w:asciiTheme="majorHAnsi" w:hAnsiTheme="majorHAnsi" w:cs="Calibri"/>
        </w:rPr>
        <w:t xml:space="preserve"> OPRA is partnering with Kim Kehl of OMHAS</w:t>
      </w:r>
      <w:r w:rsidR="003F3521" w:rsidRPr="00C24C2A">
        <w:rPr>
          <w:rFonts w:asciiTheme="majorHAnsi" w:hAnsiTheme="majorHAnsi" w:cs="Calibri"/>
        </w:rPr>
        <w:t xml:space="preserve"> in an effort to get regional training and meeting notices out to our members. Kim attended the joint Policy and Program Directors meeting and presented information</w:t>
      </w:r>
      <w:r w:rsidR="003F3521">
        <w:rPr>
          <w:rFonts w:asciiTheme="majorHAnsi" w:hAnsiTheme="majorHAnsi" w:cs="Calibri"/>
          <w:color w:val="0070C0"/>
          <w:u w:val="single"/>
        </w:rPr>
        <w:t xml:space="preserve"> </w:t>
      </w:r>
      <w:r w:rsidR="003F3521" w:rsidRPr="00C24C2A">
        <w:rPr>
          <w:rFonts w:asciiTheme="majorHAnsi" w:hAnsiTheme="majorHAnsi" w:cs="Calibri"/>
        </w:rPr>
        <w:t>on MHAS’ TIC efforts.</w:t>
      </w:r>
      <w:r w:rsidR="00B96606">
        <w:rPr>
          <w:rFonts w:asciiTheme="majorHAnsi" w:hAnsiTheme="majorHAnsi" w:cs="Calibri"/>
          <w:color w:val="0070C0"/>
          <w:u w:val="single"/>
        </w:rPr>
        <w:t xml:space="preserve"> </w:t>
      </w:r>
      <w:r w:rsidR="00B96606" w:rsidRPr="00314AF1">
        <w:rPr>
          <w:rFonts w:asciiTheme="majorHAnsi" w:hAnsiTheme="majorHAnsi" w:cs="Calibri"/>
          <w:color w:val="FF0000"/>
          <w:u w:val="single"/>
        </w:rPr>
        <w:t>We met with the AP group which specialize</w:t>
      </w:r>
      <w:r w:rsidR="00703524" w:rsidRPr="00314AF1">
        <w:rPr>
          <w:rFonts w:asciiTheme="majorHAnsi" w:hAnsiTheme="majorHAnsi" w:cs="Calibri"/>
          <w:color w:val="FF0000"/>
          <w:u w:val="single"/>
        </w:rPr>
        <w:t>s</w:t>
      </w:r>
      <w:r w:rsidR="00B96606" w:rsidRPr="00314AF1">
        <w:rPr>
          <w:rFonts w:asciiTheme="majorHAnsi" w:hAnsiTheme="majorHAnsi" w:cs="Calibri"/>
          <w:color w:val="FF0000"/>
          <w:u w:val="single"/>
        </w:rPr>
        <w:t xml:space="preserve"> in TIC training and implementation.</w:t>
      </w:r>
      <w:r w:rsidR="00314AF1">
        <w:rPr>
          <w:rFonts w:asciiTheme="majorHAnsi" w:hAnsiTheme="majorHAnsi" w:cs="Calibri"/>
          <w:color w:val="FF0000"/>
          <w:u w:val="single"/>
        </w:rPr>
        <w:t xml:space="preserve"> </w:t>
      </w:r>
      <w:r w:rsidR="00703524" w:rsidRPr="00314AF1">
        <w:rPr>
          <w:rFonts w:asciiTheme="majorHAnsi" w:hAnsiTheme="majorHAnsi" w:cs="Calibri"/>
          <w:color w:val="FF0000"/>
          <w:u w:val="single"/>
        </w:rPr>
        <w:t>We are discussing regional training opportunities.</w:t>
      </w:r>
    </w:p>
    <w:p w:rsidR="008D4E44" w:rsidRPr="00C311B4" w:rsidRDefault="00C121E8" w:rsidP="000F1671">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8D4E44" w:rsidRPr="00C311B4" w:rsidRDefault="00EB3155" w:rsidP="000F1671">
      <w:pPr>
        <w:widowControl w:val="0"/>
        <w:autoSpaceDE w:val="0"/>
        <w:autoSpaceDN w:val="0"/>
        <w:adjustRightInd w:val="0"/>
        <w:rPr>
          <w:rFonts w:asciiTheme="majorHAnsi" w:hAnsiTheme="majorHAnsi" w:cs="Calibri"/>
          <w:b/>
          <w:i/>
        </w:rPr>
      </w:pPr>
      <w:r>
        <w:rPr>
          <w:rFonts w:asciiTheme="majorHAnsi" w:hAnsiTheme="majorHAnsi" w:cs="Calibri"/>
          <w:b/>
          <w:i/>
        </w:rPr>
        <w:t>D</w:t>
      </w:r>
      <w:r w:rsidR="008D4E44" w:rsidRPr="00C311B4">
        <w:rPr>
          <w:rFonts w:asciiTheme="majorHAnsi" w:hAnsiTheme="majorHAnsi" w:cs="Calibri"/>
          <w:b/>
          <w:i/>
        </w:rPr>
        <w:t>.  Business Intelligence Tool</w:t>
      </w:r>
    </w:p>
    <w:p w:rsidR="00D53C7B" w:rsidRPr="006E52F4" w:rsidRDefault="00DE1609" w:rsidP="00D53C7B">
      <w:pPr>
        <w:rPr>
          <w:rFonts w:asciiTheme="majorHAnsi" w:hAnsiTheme="majorHAnsi" w:cs="Times New Roman"/>
          <w:color w:val="FF0000"/>
          <w:u w:val="single"/>
        </w:rPr>
      </w:pPr>
      <w:r>
        <w:rPr>
          <w:rFonts w:asciiTheme="majorHAnsi" w:hAnsiTheme="majorHAnsi" w:cs="Times New Roman"/>
          <w:color w:val="FF0000"/>
          <w:u w:val="single"/>
        </w:rPr>
        <w:t>No update</w:t>
      </w:r>
    </w:p>
    <w:p w:rsidR="003C5052" w:rsidRPr="00C311B4" w:rsidRDefault="003C5052" w:rsidP="00856B34">
      <w:pPr>
        <w:rPr>
          <w:rFonts w:asciiTheme="majorHAnsi" w:hAnsiTheme="majorHAnsi" w:cs="Times New Roman"/>
        </w:rPr>
      </w:pPr>
    </w:p>
    <w:p w:rsidR="00DE1609" w:rsidRDefault="00DE1609" w:rsidP="00856B34">
      <w:pPr>
        <w:rPr>
          <w:rFonts w:asciiTheme="majorHAnsi" w:hAnsiTheme="majorHAnsi" w:cs="Times New Roman"/>
          <w:b/>
          <w:i/>
        </w:rPr>
      </w:pPr>
    </w:p>
    <w:p w:rsidR="003C5052" w:rsidRPr="00C311B4" w:rsidRDefault="00EB3155" w:rsidP="00856B34">
      <w:pPr>
        <w:rPr>
          <w:rFonts w:asciiTheme="majorHAnsi" w:hAnsiTheme="majorHAnsi" w:cs="Times New Roman"/>
          <w:i/>
        </w:rPr>
      </w:pPr>
      <w:r>
        <w:rPr>
          <w:rFonts w:asciiTheme="majorHAnsi" w:hAnsiTheme="majorHAnsi" w:cs="Times New Roman"/>
          <w:b/>
          <w:i/>
        </w:rPr>
        <w:t>E</w:t>
      </w:r>
      <w:r w:rsidR="003C5052" w:rsidRPr="00C311B4">
        <w:rPr>
          <w:rFonts w:asciiTheme="majorHAnsi" w:hAnsiTheme="majorHAnsi" w:cs="Times New Roman"/>
          <w:b/>
          <w:i/>
        </w:rPr>
        <w:t>.  Dropout/DSP Pilot Project</w:t>
      </w:r>
    </w:p>
    <w:p w:rsidR="00DA63D9" w:rsidRPr="00DE1609" w:rsidRDefault="00DE1609" w:rsidP="00DE1609">
      <w:pPr>
        <w:widowControl w:val="0"/>
        <w:autoSpaceDE w:val="0"/>
        <w:autoSpaceDN w:val="0"/>
        <w:adjustRightInd w:val="0"/>
        <w:rPr>
          <w:rFonts w:ascii="Calibri" w:hAnsi="Calibri" w:cs="Calibri"/>
          <w:color w:val="FF0000"/>
          <w:u w:val="single"/>
        </w:rPr>
      </w:pPr>
      <w:r w:rsidRPr="00DE1609">
        <w:rPr>
          <w:rFonts w:ascii="Calibri" w:hAnsi="Calibri" w:cs="Calibri"/>
          <w:color w:val="FF0000"/>
          <w:u w:val="single"/>
        </w:rPr>
        <w:t xml:space="preserve">OADSP presented to South-Western Schools earlier this month.  School officials were extremely impressed at the curriculum and the structure of the program, even mentioning that this is better than any CBI program they currently offer.  They wish to run their </w:t>
      </w:r>
      <w:proofErr w:type="gramStart"/>
      <w:r w:rsidRPr="00DE1609">
        <w:rPr>
          <w:rFonts w:ascii="Calibri" w:hAnsi="Calibri" w:cs="Calibri"/>
          <w:color w:val="FF0000"/>
          <w:u w:val="single"/>
        </w:rPr>
        <w:t>C3P(</w:t>
      </w:r>
      <w:proofErr w:type="gramEnd"/>
      <w:r w:rsidRPr="00DE1609">
        <w:rPr>
          <w:rFonts w:ascii="Calibri" w:hAnsi="Calibri" w:cs="Calibri"/>
          <w:color w:val="FF0000"/>
          <w:u w:val="single"/>
        </w:rPr>
        <w:t xml:space="preserve">O) program in two years.   First year the students would earn their CIP and the second year they would earn their CAP.  They also mentioned that ODE recently introduced new requirements for graduation that apply to the Class of 2018.  One of these requirements is that students must have the ability to learn and develop specific job-related </w:t>
      </w:r>
      <w:proofErr w:type="gramStart"/>
      <w:r w:rsidRPr="00DE1609">
        <w:rPr>
          <w:rFonts w:ascii="Calibri" w:hAnsi="Calibri" w:cs="Calibri"/>
          <w:color w:val="FF0000"/>
          <w:u w:val="single"/>
        </w:rPr>
        <w:t>skills  that</w:t>
      </w:r>
      <w:proofErr w:type="gramEnd"/>
      <w:r w:rsidRPr="00DE1609">
        <w:rPr>
          <w:rFonts w:ascii="Calibri" w:hAnsi="Calibri" w:cs="Calibri"/>
          <w:color w:val="FF0000"/>
          <w:u w:val="single"/>
        </w:rPr>
        <w:t xml:space="preserve"> are directly connected to a job-in-demand in Ohio.  With this said, it firms up the idea that this is a perfect collaboration.  Jason is now contacting agencies to see if they are interested in being a host site for the internships.  </w:t>
      </w:r>
    </w:p>
    <w:p w:rsidR="00DE1609" w:rsidRPr="00C311B4" w:rsidRDefault="00DE1609" w:rsidP="00CF5660">
      <w:pPr>
        <w:jc w:val="both"/>
        <w:rPr>
          <w:rFonts w:asciiTheme="majorHAnsi" w:hAnsiTheme="majorHAnsi" w:cs="Times New Roman"/>
        </w:rPr>
      </w:pPr>
    </w:p>
    <w:p w:rsidR="00504857" w:rsidRDefault="00EB3155" w:rsidP="00293575">
      <w:pPr>
        <w:jc w:val="both"/>
        <w:rPr>
          <w:rFonts w:asciiTheme="majorHAnsi" w:hAnsiTheme="majorHAnsi" w:cs="Times New Roman"/>
          <w:b/>
          <w:i/>
        </w:rPr>
      </w:pPr>
      <w:r>
        <w:rPr>
          <w:rFonts w:asciiTheme="majorHAnsi" w:hAnsiTheme="majorHAnsi" w:cs="Times New Roman"/>
          <w:b/>
          <w:i/>
        </w:rPr>
        <w:t>F</w:t>
      </w:r>
      <w:r w:rsidR="00DA63D9" w:rsidRPr="00E44B97">
        <w:rPr>
          <w:rFonts w:asciiTheme="majorHAnsi" w:hAnsiTheme="majorHAnsi" w:cs="Times New Roman"/>
          <w:b/>
          <w:i/>
        </w:rPr>
        <w:t xml:space="preserve">.  </w:t>
      </w:r>
      <w:r w:rsidR="00293575" w:rsidRPr="00E44B97">
        <w:rPr>
          <w:rFonts w:asciiTheme="majorHAnsi" w:hAnsiTheme="majorHAnsi" w:cs="Times New Roman"/>
          <w:b/>
          <w:i/>
        </w:rPr>
        <w:t>Member Relations</w:t>
      </w:r>
      <w:r w:rsidR="00E44B97" w:rsidRPr="00E44B97">
        <w:rPr>
          <w:rFonts w:asciiTheme="majorHAnsi" w:hAnsiTheme="majorHAnsi" w:cs="Times New Roman"/>
          <w:b/>
          <w:i/>
        </w:rPr>
        <w:t xml:space="preserve"> Dat</w:t>
      </w:r>
      <w:r w:rsidR="00E44B97">
        <w:rPr>
          <w:rFonts w:asciiTheme="majorHAnsi" w:hAnsiTheme="majorHAnsi" w:cs="Times New Roman"/>
          <w:b/>
          <w:i/>
        </w:rPr>
        <w:t>a</w:t>
      </w:r>
    </w:p>
    <w:p w:rsidR="00C2217F" w:rsidRPr="00495C5C" w:rsidRDefault="00C2217F" w:rsidP="00C2217F">
      <w:pPr>
        <w:widowControl w:val="0"/>
        <w:autoSpaceDE w:val="0"/>
        <w:autoSpaceDN w:val="0"/>
        <w:adjustRightInd w:val="0"/>
        <w:jc w:val="both"/>
        <w:rPr>
          <w:rFonts w:ascii="Calibri" w:hAnsi="Calibri" w:cs="Times New Roman"/>
          <w:i/>
          <w:color w:val="FF0000"/>
          <w:u w:val="single"/>
        </w:rPr>
      </w:pPr>
      <w:r w:rsidRPr="00495C5C">
        <w:rPr>
          <w:rFonts w:ascii="Calibri" w:hAnsi="Calibri" w:cs="Times New Roman"/>
          <w:color w:val="FF0000"/>
          <w:u w:val="single"/>
        </w:rPr>
        <w:t>A member tracking system is being developed and the data is being processed to track member related communications. This data will be used to track trends, identify training needs and address member concerns. Staff will coordinate the development of training and information resources for our members in 2015.</w:t>
      </w:r>
    </w:p>
    <w:p w:rsidR="00C2217F" w:rsidRPr="00C2217F" w:rsidRDefault="00C2217F" w:rsidP="00293575">
      <w:pPr>
        <w:jc w:val="both"/>
        <w:rPr>
          <w:rFonts w:asciiTheme="majorHAnsi" w:hAnsiTheme="majorHAnsi" w:cs="Times New Roman"/>
        </w:rPr>
      </w:pPr>
    </w:p>
    <w:p w:rsidR="0066133D" w:rsidRDefault="00E2552B" w:rsidP="0066133D">
      <w:pPr>
        <w:jc w:val="both"/>
        <w:rPr>
          <w:rFonts w:asciiTheme="majorHAnsi" w:hAnsiTheme="majorHAnsi" w:cs="Times New Roman"/>
          <w:i/>
          <w:u w:val="single"/>
        </w:rPr>
      </w:pPr>
      <w:r>
        <w:rPr>
          <w:rFonts w:asciiTheme="majorHAnsi" w:hAnsiTheme="majorHAnsi" w:cs="Times New Roman"/>
          <w:b/>
          <w:i/>
        </w:rPr>
        <w:t>G</w:t>
      </w:r>
      <w:r w:rsidR="00293575" w:rsidRPr="00E44B97">
        <w:rPr>
          <w:rFonts w:asciiTheme="majorHAnsi" w:hAnsiTheme="majorHAnsi" w:cs="Times New Roman"/>
          <w:b/>
          <w:i/>
        </w:rPr>
        <w:t>. Communication</w:t>
      </w:r>
      <w:r w:rsidR="00E44B97">
        <w:rPr>
          <w:rFonts w:asciiTheme="majorHAnsi" w:hAnsiTheme="majorHAnsi" w:cs="Times New Roman"/>
          <w:b/>
          <w:i/>
        </w:rPr>
        <w:t xml:space="preserve"> Plan</w:t>
      </w:r>
      <w:r w:rsidR="00C2217F">
        <w:rPr>
          <w:rFonts w:asciiTheme="majorHAnsi" w:hAnsiTheme="majorHAnsi" w:cs="Times New Roman"/>
          <w:b/>
          <w:i/>
        </w:rPr>
        <w:t xml:space="preserve"> </w:t>
      </w:r>
      <w:r w:rsidR="00E44B97" w:rsidRPr="00E44B97">
        <w:rPr>
          <w:rFonts w:asciiTheme="majorHAnsi" w:hAnsiTheme="majorHAnsi" w:cs="Times New Roman"/>
          <w:b/>
          <w:i/>
        </w:rPr>
        <w:t xml:space="preserve"> </w:t>
      </w:r>
    </w:p>
    <w:p w:rsidR="003427C1" w:rsidRDefault="0066133D" w:rsidP="003427C1">
      <w:pPr>
        <w:jc w:val="both"/>
        <w:rPr>
          <w:rFonts w:asciiTheme="majorHAnsi" w:hAnsiTheme="majorHAnsi" w:cs="Consolas"/>
          <w:color w:val="FF0000"/>
          <w:u w:val="single"/>
        </w:rPr>
      </w:pPr>
      <w:r w:rsidRPr="0066133D">
        <w:rPr>
          <w:rFonts w:asciiTheme="majorHAnsi" w:hAnsiTheme="majorHAnsi" w:cs="Times New Roman"/>
          <w:color w:val="FF0000"/>
          <w:u w:val="single"/>
        </w:rPr>
        <w:t>OPRA’s semiannual publication,</w:t>
      </w:r>
      <w:r w:rsidRPr="0066133D">
        <w:rPr>
          <w:rFonts w:asciiTheme="majorHAnsi" w:hAnsiTheme="majorHAnsi" w:cs="Times New Roman"/>
          <w:i/>
          <w:color w:val="FF0000"/>
          <w:u w:val="single"/>
        </w:rPr>
        <w:t xml:space="preserve"> </w:t>
      </w:r>
      <w:r w:rsidRPr="0066133D">
        <w:rPr>
          <w:rFonts w:asciiTheme="majorHAnsi" w:hAnsiTheme="majorHAnsi" w:cs="Consolas"/>
          <w:i/>
          <w:color w:val="FF0000"/>
          <w:u w:val="single"/>
        </w:rPr>
        <w:t>Provider Periodical</w:t>
      </w:r>
      <w:r w:rsidRPr="0066133D">
        <w:rPr>
          <w:rFonts w:asciiTheme="majorHAnsi" w:hAnsiTheme="majorHAnsi" w:cs="Consolas"/>
          <w:color w:val="FF0000"/>
          <w:u w:val="single"/>
        </w:rPr>
        <w:t xml:space="preserve"> is being designed for the distribution date of April 30, 2015. Topical articles, updates, editorials and advertisement opportunities will be the focal points of each publication.</w:t>
      </w:r>
      <w:r w:rsidR="003427C1">
        <w:rPr>
          <w:rFonts w:asciiTheme="majorHAnsi" w:hAnsiTheme="majorHAnsi" w:cs="Consolas"/>
          <w:color w:val="FF0000"/>
          <w:u w:val="single"/>
        </w:rPr>
        <w:t xml:space="preserve"> As part of OPRA’s marketing plan, </w:t>
      </w:r>
      <w:r w:rsidR="003427C1" w:rsidRPr="003427C1">
        <w:rPr>
          <w:rFonts w:asciiTheme="majorHAnsi" w:hAnsiTheme="majorHAnsi" w:cs="Consolas"/>
          <w:color w:val="FF0000"/>
          <w:u w:val="single"/>
        </w:rPr>
        <w:t>promotional materials, vendor booth design and attendance at statewide conferences are being scheduled.</w:t>
      </w:r>
    </w:p>
    <w:p w:rsidR="00EA00A5" w:rsidRDefault="00EA00A5" w:rsidP="003427C1">
      <w:pPr>
        <w:jc w:val="both"/>
        <w:rPr>
          <w:rFonts w:asciiTheme="majorHAnsi" w:hAnsiTheme="majorHAnsi" w:cs="Consolas"/>
          <w:color w:val="FF0000"/>
          <w:u w:val="single"/>
        </w:rPr>
      </w:pPr>
    </w:p>
    <w:p w:rsidR="00EA00A5" w:rsidRDefault="00EA00A5" w:rsidP="00EA00A5">
      <w:pPr>
        <w:jc w:val="both"/>
        <w:rPr>
          <w:rFonts w:asciiTheme="majorHAnsi" w:hAnsiTheme="majorHAnsi"/>
          <w:color w:val="FF0000"/>
          <w:u w:val="single"/>
        </w:rPr>
      </w:pPr>
      <w:r w:rsidRPr="00EA00A5">
        <w:rPr>
          <w:rFonts w:asciiTheme="majorHAnsi" w:hAnsiTheme="majorHAnsi"/>
          <w:color w:val="FF0000"/>
          <w:u w:val="single"/>
        </w:rPr>
        <w:t xml:space="preserve">Mark Watson has been reviewing data that influences how providers manage their businesses. Questions, comments and concerns have been reviewed and the information reveals that managing a business takes more than compassion for others; it requires a multifaceted approach to business management. </w:t>
      </w:r>
    </w:p>
    <w:p w:rsidR="00EA00A5" w:rsidRPr="00EA00A5" w:rsidRDefault="00EA00A5" w:rsidP="00EA00A5">
      <w:pPr>
        <w:jc w:val="both"/>
        <w:rPr>
          <w:rFonts w:asciiTheme="majorHAnsi" w:hAnsiTheme="majorHAnsi"/>
          <w:color w:val="FF0000"/>
          <w:u w:val="single"/>
        </w:rPr>
      </w:pPr>
    </w:p>
    <w:p w:rsidR="008D4E44" w:rsidRPr="00EA00A5" w:rsidRDefault="00EA00A5" w:rsidP="0066133D">
      <w:pPr>
        <w:jc w:val="both"/>
        <w:rPr>
          <w:rFonts w:asciiTheme="majorHAnsi" w:hAnsiTheme="majorHAnsi"/>
          <w:color w:val="FF0000"/>
          <w:u w:val="single"/>
        </w:rPr>
      </w:pPr>
      <w:r w:rsidRPr="00EA00A5">
        <w:rPr>
          <w:rFonts w:asciiTheme="majorHAnsi" w:hAnsiTheme="majorHAnsi"/>
          <w:color w:val="FF0000"/>
          <w:u w:val="single"/>
        </w:rPr>
        <w:t xml:space="preserve">Over 177 communications were reviewed and the facts revealed that Compliance, Human Resources, Legislative and Policy, and Housing top the list of concerns. </w:t>
      </w:r>
      <w:proofErr w:type="gramStart"/>
      <w:r w:rsidRPr="00EA00A5">
        <w:rPr>
          <w:rFonts w:asciiTheme="majorHAnsi" w:hAnsiTheme="majorHAnsi"/>
          <w:color w:val="FF0000"/>
          <w:u w:val="single"/>
        </w:rPr>
        <w:t>This information was categorized by districts</w:t>
      </w:r>
      <w:proofErr w:type="gramEnd"/>
      <w:r w:rsidRPr="00EA00A5">
        <w:rPr>
          <w:rFonts w:asciiTheme="majorHAnsi" w:hAnsiTheme="majorHAnsi"/>
          <w:color w:val="FF0000"/>
          <w:u w:val="single"/>
        </w:rPr>
        <w:t xml:space="preserve">, </w:t>
      </w:r>
      <w:r w:rsidR="003731AA">
        <w:rPr>
          <w:rFonts w:asciiTheme="majorHAnsi" w:hAnsiTheme="majorHAnsi"/>
          <w:color w:val="FF0000"/>
          <w:u w:val="single"/>
        </w:rPr>
        <w:t>so that solutions may be locally designed and delivered.</w:t>
      </w:r>
    </w:p>
    <w:p w:rsidR="0066133D" w:rsidRDefault="0066133D" w:rsidP="000F1671">
      <w:pPr>
        <w:widowControl w:val="0"/>
        <w:autoSpaceDE w:val="0"/>
        <w:autoSpaceDN w:val="0"/>
        <w:adjustRightInd w:val="0"/>
        <w:rPr>
          <w:rFonts w:asciiTheme="majorHAnsi" w:hAnsiTheme="majorHAnsi" w:cs="Calibri"/>
          <w:b/>
          <w:u w:val="single"/>
        </w:rPr>
      </w:pPr>
    </w:p>
    <w:p w:rsidR="00D76473" w:rsidRPr="00935583" w:rsidRDefault="00D76473" w:rsidP="00D76473">
      <w:pPr>
        <w:jc w:val="both"/>
        <w:rPr>
          <w:rFonts w:ascii="Calibri" w:hAnsi="Calibri" w:cs="Times New Roman"/>
          <w:b/>
          <w:i/>
        </w:rPr>
      </w:pPr>
      <w:r w:rsidRPr="00935583">
        <w:rPr>
          <w:rFonts w:asciiTheme="majorHAnsi" w:hAnsiTheme="majorHAnsi" w:cs="Calibri"/>
          <w:b/>
          <w:i/>
        </w:rPr>
        <w:t xml:space="preserve">H. </w:t>
      </w:r>
      <w:r w:rsidRPr="00935583">
        <w:rPr>
          <w:rFonts w:ascii="Calibri" w:hAnsi="Calibri" w:cs="Times New Roman"/>
          <w:b/>
          <w:i/>
        </w:rPr>
        <w:t>New Member Orientation</w:t>
      </w:r>
    </w:p>
    <w:p w:rsidR="002F6FB9" w:rsidRDefault="002F6FB9" w:rsidP="002F6FB9">
      <w:pPr>
        <w:jc w:val="both"/>
        <w:rPr>
          <w:rFonts w:asciiTheme="majorHAnsi" w:hAnsiTheme="majorHAnsi" w:cs="Consolas"/>
          <w:color w:val="FF0000"/>
          <w:u w:val="single"/>
        </w:rPr>
      </w:pPr>
      <w:r w:rsidRPr="002F6FB9">
        <w:rPr>
          <w:rFonts w:asciiTheme="majorHAnsi" w:hAnsiTheme="majorHAnsi" w:cs="Calibri"/>
          <w:color w:val="FF0000"/>
          <w:u w:val="single"/>
        </w:rPr>
        <w:t>On February 5</w:t>
      </w:r>
      <w:r w:rsidRPr="002F6FB9">
        <w:rPr>
          <w:rFonts w:asciiTheme="majorHAnsi" w:hAnsiTheme="majorHAnsi" w:cs="Calibri"/>
          <w:color w:val="FF0000"/>
          <w:u w:val="single"/>
          <w:vertAlign w:val="superscript"/>
        </w:rPr>
        <w:t>th</w:t>
      </w:r>
      <w:r>
        <w:rPr>
          <w:rFonts w:asciiTheme="majorHAnsi" w:hAnsiTheme="majorHAnsi" w:cs="Calibri"/>
          <w:color w:val="FF0000"/>
          <w:u w:val="single"/>
        </w:rPr>
        <w:t xml:space="preserve"> and</w:t>
      </w:r>
      <w:r w:rsidRPr="002F6FB9">
        <w:rPr>
          <w:rFonts w:asciiTheme="majorHAnsi" w:hAnsiTheme="majorHAnsi" w:cs="Calibri"/>
          <w:color w:val="FF0000"/>
          <w:u w:val="single"/>
        </w:rPr>
        <w:t xml:space="preserve"> 6</w:t>
      </w:r>
      <w:r w:rsidRPr="002F6FB9">
        <w:rPr>
          <w:rFonts w:asciiTheme="majorHAnsi" w:hAnsiTheme="majorHAnsi" w:cs="Calibri"/>
          <w:color w:val="FF0000"/>
          <w:u w:val="single"/>
          <w:vertAlign w:val="superscript"/>
        </w:rPr>
        <w:t>th</w:t>
      </w:r>
      <w:r w:rsidRPr="002F6FB9">
        <w:rPr>
          <w:rFonts w:asciiTheme="majorHAnsi" w:hAnsiTheme="majorHAnsi" w:cs="Calibri"/>
          <w:color w:val="FF0000"/>
          <w:u w:val="single"/>
        </w:rPr>
        <w:t xml:space="preserve">, 2 </w:t>
      </w:r>
      <w:r w:rsidR="00AB6A4A">
        <w:rPr>
          <w:rFonts w:asciiTheme="majorHAnsi" w:hAnsiTheme="majorHAnsi" w:cs="Calibri"/>
          <w:color w:val="FF0000"/>
          <w:u w:val="single"/>
        </w:rPr>
        <w:t xml:space="preserve">(repeat) </w:t>
      </w:r>
      <w:r w:rsidRPr="002F6FB9">
        <w:rPr>
          <w:rFonts w:asciiTheme="majorHAnsi" w:hAnsiTheme="majorHAnsi" w:cs="Calibri"/>
          <w:color w:val="FF0000"/>
          <w:u w:val="single"/>
        </w:rPr>
        <w:t xml:space="preserve">sessions were held to help clarify the benefits of OPRA membership. </w:t>
      </w:r>
      <w:r w:rsidRPr="002F6FB9">
        <w:rPr>
          <w:rFonts w:asciiTheme="majorHAnsi" w:hAnsiTheme="majorHAnsi" w:cs="Consolas"/>
          <w:color w:val="FF0000"/>
          <w:u w:val="single"/>
        </w:rPr>
        <w:t>A review of the lists serves, committees, benefits, and member discounts spanned the morning. The members received a review of current changes and an update on advocacy from OPRA staff.</w:t>
      </w:r>
    </w:p>
    <w:p w:rsidR="00FE5D72" w:rsidRPr="002F6FB9" w:rsidRDefault="00FE5D72" w:rsidP="002F6FB9">
      <w:pPr>
        <w:jc w:val="both"/>
        <w:rPr>
          <w:rFonts w:asciiTheme="majorHAnsi" w:hAnsiTheme="majorHAnsi" w:cs="Calibri"/>
          <w:color w:val="FF0000"/>
          <w:u w:val="single"/>
        </w:rPr>
      </w:pPr>
    </w:p>
    <w:p w:rsidR="002F6FB9" w:rsidRDefault="002F6FB9" w:rsidP="002F6FB9">
      <w:pPr>
        <w:widowControl w:val="0"/>
        <w:autoSpaceDE w:val="0"/>
        <w:autoSpaceDN w:val="0"/>
        <w:adjustRightInd w:val="0"/>
        <w:jc w:val="both"/>
        <w:rPr>
          <w:rFonts w:asciiTheme="majorHAnsi" w:hAnsiTheme="majorHAnsi" w:cs="Consolas"/>
          <w:color w:val="FF0000"/>
          <w:u w:val="single"/>
        </w:rPr>
      </w:pPr>
      <w:r w:rsidRPr="002F6FB9">
        <w:rPr>
          <w:rFonts w:asciiTheme="majorHAnsi" w:hAnsiTheme="majorHAnsi" w:cs="Consolas"/>
          <w:color w:val="FF0000"/>
          <w:u w:val="single"/>
        </w:rPr>
        <w:t>After an OPRA sponsored lunch, presenters informed the members of business trends, diverse marketing approaches, scheduling system options, DSP training opportunities and the newest in IT for the new or growing</w:t>
      </w:r>
      <w:r w:rsidR="00FE5D72">
        <w:rPr>
          <w:rFonts w:asciiTheme="majorHAnsi" w:hAnsiTheme="majorHAnsi" w:cs="Consolas"/>
          <w:color w:val="FF0000"/>
          <w:u w:val="single"/>
        </w:rPr>
        <w:t xml:space="preserve"> business.</w:t>
      </w:r>
    </w:p>
    <w:p w:rsidR="00FE5D72" w:rsidRPr="002F6FB9" w:rsidRDefault="00FE5D72" w:rsidP="002F6FB9">
      <w:pPr>
        <w:widowControl w:val="0"/>
        <w:autoSpaceDE w:val="0"/>
        <w:autoSpaceDN w:val="0"/>
        <w:adjustRightInd w:val="0"/>
        <w:jc w:val="both"/>
        <w:rPr>
          <w:rFonts w:asciiTheme="majorHAnsi" w:hAnsiTheme="majorHAnsi" w:cs="Consolas"/>
          <w:color w:val="FF0000"/>
          <w:u w:val="single"/>
        </w:rPr>
      </w:pPr>
    </w:p>
    <w:p w:rsidR="002F6FB9" w:rsidRPr="002F6FB9" w:rsidRDefault="002F6FB9" w:rsidP="002F6FB9">
      <w:pPr>
        <w:widowControl w:val="0"/>
        <w:autoSpaceDE w:val="0"/>
        <w:autoSpaceDN w:val="0"/>
        <w:adjustRightInd w:val="0"/>
        <w:jc w:val="both"/>
        <w:rPr>
          <w:rFonts w:asciiTheme="majorHAnsi" w:hAnsiTheme="majorHAnsi" w:cs="Consolas"/>
          <w:color w:val="FF0000"/>
          <w:u w:val="single"/>
        </w:rPr>
      </w:pPr>
      <w:r w:rsidRPr="002F6FB9">
        <w:rPr>
          <w:rFonts w:asciiTheme="majorHAnsi" w:hAnsiTheme="majorHAnsi" w:cs="Consolas"/>
          <w:color w:val="FF0000"/>
          <w:u w:val="single"/>
        </w:rPr>
        <w:t>The participants provided valuable feedback to modify or change the orientation, but the overall comments were extremely positive and very appreciated.</w:t>
      </w:r>
    </w:p>
    <w:p w:rsidR="00447CB3" w:rsidRDefault="00447CB3" w:rsidP="000F1671">
      <w:pPr>
        <w:widowControl w:val="0"/>
        <w:autoSpaceDE w:val="0"/>
        <w:autoSpaceDN w:val="0"/>
        <w:adjustRightInd w:val="0"/>
        <w:rPr>
          <w:rFonts w:asciiTheme="majorHAnsi" w:hAnsiTheme="majorHAnsi" w:cs="Calibri"/>
          <w:b/>
          <w:u w:val="single"/>
        </w:rPr>
      </w:pPr>
    </w:p>
    <w:p w:rsidR="00CE727D" w:rsidRPr="00D34B7D" w:rsidRDefault="006E52F4" w:rsidP="00CE727D">
      <w:pPr>
        <w:widowControl w:val="0"/>
        <w:autoSpaceDE w:val="0"/>
        <w:autoSpaceDN w:val="0"/>
        <w:adjustRightInd w:val="0"/>
        <w:jc w:val="both"/>
        <w:rPr>
          <w:rFonts w:ascii="Calibri" w:hAnsi="Calibri" w:cs="Calibri"/>
          <w:b/>
        </w:rPr>
      </w:pPr>
      <w:r w:rsidRPr="00D34B7D">
        <w:rPr>
          <w:rFonts w:asciiTheme="majorHAnsi" w:hAnsiTheme="majorHAnsi" w:cs="Calibri"/>
          <w:b/>
        </w:rPr>
        <w:t>J</w:t>
      </w:r>
      <w:r w:rsidR="00CE727D" w:rsidRPr="00D34B7D">
        <w:rPr>
          <w:rFonts w:asciiTheme="majorHAnsi" w:hAnsiTheme="majorHAnsi" w:cs="Calibri"/>
          <w:b/>
        </w:rPr>
        <w:t xml:space="preserve">. </w:t>
      </w:r>
      <w:r w:rsidR="00CE727D" w:rsidRPr="00D34B7D">
        <w:rPr>
          <w:rFonts w:ascii="Calibri" w:hAnsi="Calibri" w:cs="Calibri"/>
          <w:b/>
          <w:bCs/>
        </w:rPr>
        <w:t>Roundup, Magazine and Website Advertisements</w:t>
      </w:r>
    </w:p>
    <w:p w:rsidR="00CE727D" w:rsidRPr="00690105" w:rsidRDefault="00CE727D" w:rsidP="00CE727D">
      <w:pPr>
        <w:jc w:val="both"/>
        <w:rPr>
          <w:rFonts w:ascii="Calibri" w:hAnsi="Calibri" w:cs="Times New Roman"/>
          <w:b/>
          <w:u w:val="single"/>
        </w:rPr>
      </w:pPr>
      <w:r w:rsidRPr="00690105">
        <w:rPr>
          <w:rFonts w:ascii="Calibri" w:hAnsi="Calibri" w:cs="Calibri"/>
          <w:u w:val="single"/>
        </w:rPr>
        <w:t xml:space="preserve">We are considering paid advertisements in OPRA Roundup, OPRA Website and other OPRA publications. We have received very positive comments regarding our latest efforts in communicating with our members and see the opportunity to offer additional services to those organizations that might benefit from advertising in our publications. OPRA Roundup circulation exceeds 800 readers and is growing monthly. </w:t>
      </w:r>
    </w:p>
    <w:p w:rsidR="00447CB3" w:rsidRPr="00C311B4" w:rsidRDefault="00447CB3" w:rsidP="000F1671">
      <w:pPr>
        <w:widowControl w:val="0"/>
        <w:autoSpaceDE w:val="0"/>
        <w:autoSpaceDN w:val="0"/>
        <w:adjustRightInd w:val="0"/>
        <w:rPr>
          <w:rFonts w:asciiTheme="majorHAnsi" w:hAnsiTheme="majorHAnsi" w:cs="Calibri"/>
          <w:b/>
          <w:u w:val="single"/>
        </w:rPr>
      </w:pPr>
    </w:p>
    <w:p w:rsidR="00ED2225" w:rsidRPr="00D34B7D" w:rsidRDefault="006E52F4" w:rsidP="006E52F4">
      <w:pPr>
        <w:jc w:val="both"/>
        <w:rPr>
          <w:rFonts w:ascii="Calibri" w:hAnsi="Calibri" w:cs="Times New Roman"/>
          <w:b/>
          <w:i/>
        </w:rPr>
      </w:pPr>
      <w:r w:rsidRPr="00D34B7D">
        <w:rPr>
          <w:rFonts w:ascii="Calibri" w:hAnsi="Calibri" w:cs="Times New Roman"/>
          <w:b/>
          <w:i/>
        </w:rPr>
        <w:t>K</w:t>
      </w:r>
      <w:r w:rsidR="00AE74C8" w:rsidRPr="00D34B7D">
        <w:rPr>
          <w:rFonts w:ascii="Calibri" w:hAnsi="Calibri" w:cs="Times New Roman"/>
          <w:b/>
          <w:i/>
        </w:rPr>
        <w:t xml:space="preserve">. </w:t>
      </w:r>
      <w:r w:rsidRPr="00D34B7D">
        <w:rPr>
          <w:rFonts w:ascii="Calibri" w:hAnsi="Calibri" w:cs="Times New Roman"/>
          <w:b/>
          <w:i/>
        </w:rPr>
        <w:t>Technical Assistance Projects</w:t>
      </w:r>
    </w:p>
    <w:p w:rsidR="006E52F4" w:rsidRDefault="006E52F4" w:rsidP="006E52F4">
      <w:pPr>
        <w:jc w:val="both"/>
        <w:rPr>
          <w:rFonts w:ascii="Calibri" w:hAnsi="Calibri" w:cs="Times New Roman"/>
        </w:rPr>
      </w:pPr>
      <w:r>
        <w:rPr>
          <w:rFonts w:ascii="Calibri" w:hAnsi="Calibri" w:cs="Times New Roman"/>
        </w:rPr>
        <w:t>At their request, OPRA has proposals for technical assistance</w:t>
      </w:r>
      <w:r w:rsidR="0036224C">
        <w:rPr>
          <w:rFonts w:ascii="Calibri" w:hAnsi="Calibri" w:cs="Times New Roman"/>
        </w:rPr>
        <w:t xml:space="preserve"> in</w:t>
      </w:r>
      <w:r>
        <w:rPr>
          <w:rFonts w:ascii="Calibri" w:hAnsi="Calibri" w:cs="Times New Roman"/>
        </w:rPr>
        <w:t xml:space="preserve"> to the Kentucky Association of Private Providers and the Iowa Association of Community Providers.</w:t>
      </w:r>
      <w:r w:rsidR="0036224C">
        <w:rPr>
          <w:rFonts w:ascii="Calibri" w:hAnsi="Calibri" w:cs="Times New Roman"/>
        </w:rPr>
        <w:t xml:space="preserve">  These two projects, if accepted, will result in OPRA being at our maximum c</w:t>
      </w:r>
      <w:r w:rsidR="00057782">
        <w:rPr>
          <w:rFonts w:ascii="Calibri" w:hAnsi="Calibri" w:cs="Times New Roman"/>
        </w:rPr>
        <w:t>apacity in providing external technical assistance</w:t>
      </w:r>
      <w:r w:rsidR="0036224C">
        <w:rPr>
          <w:rFonts w:ascii="Calibri" w:hAnsi="Calibri" w:cs="Times New Roman"/>
        </w:rPr>
        <w:t>.</w:t>
      </w:r>
    </w:p>
    <w:p w:rsidR="00A650CB" w:rsidRDefault="00A650CB" w:rsidP="006E52F4">
      <w:pPr>
        <w:jc w:val="both"/>
        <w:rPr>
          <w:rFonts w:ascii="Calibri" w:hAnsi="Calibri" w:cs="Times New Roman"/>
        </w:rPr>
      </w:pPr>
    </w:p>
    <w:p w:rsidR="00DD45A6" w:rsidRPr="004277D8" w:rsidRDefault="00A650CB" w:rsidP="00DD45A6">
      <w:pPr>
        <w:rPr>
          <w:rFonts w:asciiTheme="majorHAnsi" w:hAnsiTheme="majorHAnsi"/>
          <w:b/>
        </w:rPr>
      </w:pPr>
      <w:r w:rsidRPr="004277D8">
        <w:rPr>
          <w:rFonts w:asciiTheme="majorHAnsi" w:hAnsiTheme="majorHAnsi" w:cs="Times New Roman"/>
          <w:b/>
        </w:rPr>
        <w:t xml:space="preserve">L.  </w:t>
      </w:r>
      <w:r w:rsidR="00DD45A6" w:rsidRPr="004277D8">
        <w:rPr>
          <w:rFonts w:asciiTheme="majorHAnsi" w:hAnsiTheme="majorHAnsi"/>
          <w:b/>
        </w:rPr>
        <w:t>CMS Regulations on Definition of Community, Conflict-Free Case Management, Person-Centered Planning – State’s draft transition plan</w:t>
      </w:r>
    </w:p>
    <w:p w:rsidR="00A650CB" w:rsidRDefault="00DD45A6" w:rsidP="006E52F4">
      <w:pPr>
        <w:jc w:val="both"/>
        <w:rPr>
          <w:rFonts w:ascii="Calibri" w:hAnsi="Calibri" w:cs="Times New Roman"/>
        </w:rPr>
      </w:pPr>
      <w:r>
        <w:rPr>
          <w:rFonts w:ascii="Calibri" w:hAnsi="Calibri" w:cs="Times New Roman"/>
        </w:rPr>
        <w:t xml:space="preserve">The state has closed its comment period for the draft CMS HCBS </w:t>
      </w:r>
      <w:proofErr w:type="gramStart"/>
      <w:r>
        <w:rPr>
          <w:rFonts w:ascii="Calibri" w:hAnsi="Calibri" w:cs="Times New Roman"/>
        </w:rPr>
        <w:t>transition plan</w:t>
      </w:r>
      <w:proofErr w:type="gramEnd"/>
      <w:r>
        <w:rPr>
          <w:rFonts w:ascii="Calibri" w:hAnsi="Calibri" w:cs="Times New Roman"/>
        </w:rPr>
        <w:t>.  The plan is due to CMS on March 17, 2015.</w:t>
      </w:r>
    </w:p>
    <w:p w:rsidR="004277D8" w:rsidRDefault="004277D8" w:rsidP="006E52F4">
      <w:pPr>
        <w:jc w:val="both"/>
        <w:rPr>
          <w:rFonts w:ascii="Calibri" w:hAnsi="Calibri" w:cs="Times New Roman"/>
        </w:rPr>
      </w:pPr>
    </w:p>
    <w:p w:rsidR="004277D8" w:rsidRDefault="00521458" w:rsidP="004277D8">
      <w:pPr>
        <w:widowControl w:val="0"/>
        <w:autoSpaceDE w:val="0"/>
        <w:autoSpaceDN w:val="0"/>
        <w:adjustRightInd w:val="0"/>
        <w:contextualSpacing/>
        <w:jc w:val="both"/>
        <w:rPr>
          <w:rFonts w:asciiTheme="majorHAnsi" w:hAnsiTheme="majorHAnsi" w:cs="Calibri"/>
          <w:b/>
          <w:color w:val="244061" w:themeColor="accent1" w:themeShade="80"/>
        </w:rPr>
      </w:pPr>
      <w:r>
        <w:rPr>
          <w:rFonts w:asciiTheme="majorHAnsi" w:hAnsiTheme="majorHAnsi" w:cs="Calibri"/>
          <w:b/>
          <w:color w:val="244061" w:themeColor="accent1" w:themeShade="80"/>
        </w:rPr>
        <w:t xml:space="preserve">M.  </w:t>
      </w:r>
      <w:r w:rsidR="00CD357D">
        <w:rPr>
          <w:rFonts w:asciiTheme="majorHAnsi" w:hAnsiTheme="majorHAnsi" w:cs="Calibri"/>
          <w:b/>
          <w:color w:val="244061" w:themeColor="accent1" w:themeShade="80"/>
        </w:rPr>
        <w:t>I</w:t>
      </w:r>
      <w:r w:rsidR="004277D8" w:rsidRPr="00332A29">
        <w:rPr>
          <w:rFonts w:asciiTheme="majorHAnsi" w:hAnsiTheme="majorHAnsi" w:cs="Calibri"/>
          <w:b/>
          <w:color w:val="244061" w:themeColor="accent1" w:themeShade="80"/>
        </w:rPr>
        <w:t>n</w:t>
      </w:r>
      <w:r w:rsidR="007E49FF">
        <w:rPr>
          <w:rFonts w:asciiTheme="majorHAnsi" w:hAnsiTheme="majorHAnsi" w:cs="Calibri"/>
          <w:b/>
          <w:color w:val="244061" w:themeColor="accent1" w:themeShade="80"/>
        </w:rPr>
        <w:t>ternship P</w:t>
      </w:r>
      <w:r w:rsidR="004277D8">
        <w:rPr>
          <w:rFonts w:asciiTheme="majorHAnsi" w:hAnsiTheme="majorHAnsi" w:cs="Calibri"/>
          <w:b/>
          <w:color w:val="244061" w:themeColor="accent1" w:themeShade="80"/>
        </w:rPr>
        <w:t>rogram</w:t>
      </w:r>
    </w:p>
    <w:p w:rsidR="004277D8" w:rsidRDefault="004277D8" w:rsidP="004277D8">
      <w:pPr>
        <w:widowControl w:val="0"/>
        <w:autoSpaceDE w:val="0"/>
        <w:autoSpaceDN w:val="0"/>
        <w:adjustRightInd w:val="0"/>
        <w:contextualSpacing/>
        <w:jc w:val="both"/>
        <w:rPr>
          <w:rFonts w:asciiTheme="majorHAnsi" w:hAnsiTheme="majorHAnsi" w:cs="Calibri"/>
        </w:rPr>
      </w:pPr>
      <w:r w:rsidRPr="00332A29">
        <w:rPr>
          <w:rFonts w:asciiTheme="majorHAnsi" w:hAnsiTheme="majorHAnsi" w:cs="Calibri"/>
        </w:rPr>
        <w:t xml:space="preserve">Nathaniel </w:t>
      </w:r>
      <w:proofErr w:type="spellStart"/>
      <w:r w:rsidRPr="00332A29">
        <w:rPr>
          <w:rFonts w:asciiTheme="majorHAnsi" w:hAnsiTheme="majorHAnsi" w:cs="Calibri"/>
        </w:rPr>
        <w:t>Cindrich</w:t>
      </w:r>
      <w:proofErr w:type="spellEnd"/>
      <w:r w:rsidRPr="00332A29">
        <w:rPr>
          <w:rFonts w:asciiTheme="majorHAnsi" w:hAnsiTheme="majorHAnsi" w:cs="Calibri"/>
        </w:rPr>
        <w:t xml:space="preserve"> is a first-year MSW student at The Ohio State University. He is originally from Warsaw, Indiana and studied psychology and cognitive science at Indiana University Bloomington. During his undergraduate career, Nathaniel worked in a lab that researched visual processing using electroencephalography and </w:t>
      </w:r>
      <w:proofErr w:type="gramStart"/>
      <w:r w:rsidRPr="00332A29">
        <w:rPr>
          <w:rFonts w:asciiTheme="majorHAnsi" w:hAnsiTheme="majorHAnsi" w:cs="Calibri"/>
        </w:rPr>
        <w:t>eye-tracking</w:t>
      </w:r>
      <w:proofErr w:type="gramEnd"/>
      <w:r w:rsidRPr="00332A29">
        <w:rPr>
          <w:rFonts w:asciiTheme="majorHAnsi" w:hAnsiTheme="majorHAnsi" w:cs="Calibri"/>
        </w:rPr>
        <w:t xml:space="preserve">. Currently, he is interested in macro social work practice and social justice. Nathaniel will be working closely with staff on research, projects and the upcoming spring conference. </w:t>
      </w:r>
    </w:p>
    <w:p w:rsidR="007E49FF" w:rsidRDefault="007E49FF" w:rsidP="004277D8">
      <w:pPr>
        <w:widowControl w:val="0"/>
        <w:autoSpaceDE w:val="0"/>
        <w:autoSpaceDN w:val="0"/>
        <w:adjustRightInd w:val="0"/>
        <w:contextualSpacing/>
        <w:jc w:val="both"/>
        <w:rPr>
          <w:rFonts w:asciiTheme="majorHAnsi" w:hAnsiTheme="majorHAnsi" w:cs="Calibri"/>
        </w:rPr>
      </w:pPr>
    </w:p>
    <w:p w:rsidR="007E49FF" w:rsidRPr="007E49FF" w:rsidRDefault="007E49FF" w:rsidP="004277D8">
      <w:pPr>
        <w:widowControl w:val="0"/>
        <w:autoSpaceDE w:val="0"/>
        <w:autoSpaceDN w:val="0"/>
        <w:adjustRightInd w:val="0"/>
        <w:contextualSpacing/>
        <w:jc w:val="both"/>
        <w:rPr>
          <w:rFonts w:asciiTheme="majorHAnsi" w:hAnsiTheme="majorHAnsi" w:cs="Calibri"/>
          <w:b/>
          <w:color w:val="FF0000"/>
        </w:rPr>
      </w:pPr>
      <w:r w:rsidRPr="007E49FF">
        <w:rPr>
          <w:rFonts w:asciiTheme="majorHAnsi" w:hAnsiTheme="majorHAnsi" w:cs="Calibri"/>
          <w:b/>
          <w:color w:val="FF0000"/>
        </w:rPr>
        <w:t>N.  Provider Information and Selection Tool Pilot</w:t>
      </w:r>
    </w:p>
    <w:p w:rsidR="007E49FF" w:rsidRPr="007E49FF" w:rsidRDefault="007E49FF" w:rsidP="004277D8">
      <w:pPr>
        <w:widowControl w:val="0"/>
        <w:autoSpaceDE w:val="0"/>
        <w:autoSpaceDN w:val="0"/>
        <w:adjustRightInd w:val="0"/>
        <w:contextualSpacing/>
        <w:jc w:val="both"/>
        <w:rPr>
          <w:rFonts w:asciiTheme="majorHAnsi" w:hAnsiTheme="majorHAnsi" w:cs="Calibri"/>
          <w:color w:val="FF0000"/>
          <w:u w:val="single"/>
        </w:rPr>
      </w:pPr>
      <w:r>
        <w:rPr>
          <w:rFonts w:asciiTheme="majorHAnsi" w:hAnsiTheme="majorHAnsi" w:cs="Calibri"/>
          <w:color w:val="FF0000"/>
          <w:u w:val="single"/>
        </w:rPr>
        <w:t>Cuyahoga and Coshocton Counties, along with OPRA members in those counties, are designing a provider information and selection tool pilot.  The pilot will propose an “Angie’s List”-type tool for people to obtain useful information on providers.  We have talked with one vendor and have a meeting set to talk with another vendor.  After the second vendor conversation, we will determine our path forward.  DODD is aware and supportive of our efforts.</w:t>
      </w:r>
    </w:p>
    <w:p w:rsidR="004277D8" w:rsidRPr="00DD45A6" w:rsidRDefault="004277D8" w:rsidP="006E52F4">
      <w:pPr>
        <w:jc w:val="both"/>
        <w:rPr>
          <w:rFonts w:ascii="Calibri" w:hAnsi="Calibri" w:cs="Times New Roman"/>
        </w:rPr>
      </w:pPr>
    </w:p>
    <w:p w:rsidR="00C92D46" w:rsidRDefault="00C92D46" w:rsidP="00C92D46">
      <w:pPr>
        <w:jc w:val="both"/>
        <w:rPr>
          <w:rFonts w:ascii="Calibri" w:hAnsi="Calibri" w:cs="Times New Roman"/>
          <w:bCs/>
        </w:rPr>
      </w:pPr>
    </w:p>
    <w:p w:rsidR="00ED2225" w:rsidRPr="00C311B4" w:rsidRDefault="00ED2225" w:rsidP="000F1671">
      <w:pPr>
        <w:widowControl w:val="0"/>
        <w:autoSpaceDE w:val="0"/>
        <w:autoSpaceDN w:val="0"/>
        <w:adjustRightInd w:val="0"/>
        <w:rPr>
          <w:rFonts w:asciiTheme="majorHAnsi" w:hAnsiTheme="majorHAnsi" w:cs="Calibri"/>
          <w:b/>
        </w:rPr>
      </w:pPr>
    </w:p>
    <w:sectPr w:rsidR="00ED2225" w:rsidRPr="00C311B4"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9F" w:rsidRDefault="0070529F" w:rsidP="00357301">
      <w:r>
        <w:separator/>
      </w:r>
    </w:p>
  </w:endnote>
  <w:endnote w:type="continuationSeparator" w:id="0">
    <w:p w:rsidR="0070529F" w:rsidRDefault="0070529F"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7D" w:rsidRDefault="00D34B7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4B7D" w:rsidRDefault="00D34B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7D" w:rsidRDefault="00D34B7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5EE">
      <w:rPr>
        <w:rStyle w:val="PageNumber"/>
        <w:noProof/>
      </w:rPr>
      <w:t>2</w:t>
    </w:r>
    <w:r>
      <w:rPr>
        <w:rStyle w:val="PageNumber"/>
      </w:rPr>
      <w:fldChar w:fldCharType="end"/>
    </w:r>
  </w:p>
  <w:p w:rsidR="00D34B7D" w:rsidRDefault="00D34B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9F" w:rsidRDefault="0070529F" w:rsidP="00357301">
      <w:r>
        <w:separator/>
      </w:r>
    </w:p>
  </w:footnote>
  <w:footnote w:type="continuationSeparator" w:id="0">
    <w:p w:rsidR="0070529F" w:rsidRDefault="0070529F"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7D" w:rsidRDefault="00D34B7D">
    <w:pPr>
      <w:pStyle w:val="Header"/>
    </w:pPr>
    <w:r>
      <w:t>OPRA Board Consent Agenda, February 25,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30FE"/>
    <w:rsid w:val="00052096"/>
    <w:rsid w:val="000539EF"/>
    <w:rsid w:val="00057782"/>
    <w:rsid w:val="0007177B"/>
    <w:rsid w:val="00073204"/>
    <w:rsid w:val="00075A72"/>
    <w:rsid w:val="00081F72"/>
    <w:rsid w:val="0008446A"/>
    <w:rsid w:val="00085F75"/>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523A3"/>
    <w:rsid w:val="00157898"/>
    <w:rsid w:val="00166ED3"/>
    <w:rsid w:val="00170D7E"/>
    <w:rsid w:val="00177367"/>
    <w:rsid w:val="00181ABD"/>
    <w:rsid w:val="00187426"/>
    <w:rsid w:val="00187C0E"/>
    <w:rsid w:val="00190F3C"/>
    <w:rsid w:val="00192366"/>
    <w:rsid w:val="0019630B"/>
    <w:rsid w:val="001968AF"/>
    <w:rsid w:val="00196F7F"/>
    <w:rsid w:val="001A6157"/>
    <w:rsid w:val="001D4589"/>
    <w:rsid w:val="001D608B"/>
    <w:rsid w:val="001E1EF8"/>
    <w:rsid w:val="001E600A"/>
    <w:rsid w:val="001F2862"/>
    <w:rsid w:val="001F3F59"/>
    <w:rsid w:val="00201670"/>
    <w:rsid w:val="002037EC"/>
    <w:rsid w:val="0020474B"/>
    <w:rsid w:val="00206BD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A204C"/>
    <w:rsid w:val="002A2783"/>
    <w:rsid w:val="002A6C8A"/>
    <w:rsid w:val="002B7AD7"/>
    <w:rsid w:val="002B7AF4"/>
    <w:rsid w:val="002C16E6"/>
    <w:rsid w:val="002C2C0B"/>
    <w:rsid w:val="002C45A4"/>
    <w:rsid w:val="002D1EEC"/>
    <w:rsid w:val="002E1865"/>
    <w:rsid w:val="002E20CA"/>
    <w:rsid w:val="002E7BCA"/>
    <w:rsid w:val="002F0033"/>
    <w:rsid w:val="002F117D"/>
    <w:rsid w:val="002F16E2"/>
    <w:rsid w:val="002F2933"/>
    <w:rsid w:val="002F6FB9"/>
    <w:rsid w:val="00303C35"/>
    <w:rsid w:val="00314AF1"/>
    <w:rsid w:val="0031690A"/>
    <w:rsid w:val="00320AC3"/>
    <w:rsid w:val="003223B8"/>
    <w:rsid w:val="00325F3A"/>
    <w:rsid w:val="00326546"/>
    <w:rsid w:val="00331428"/>
    <w:rsid w:val="003354DF"/>
    <w:rsid w:val="003427C1"/>
    <w:rsid w:val="00344205"/>
    <w:rsid w:val="00344938"/>
    <w:rsid w:val="003465F6"/>
    <w:rsid w:val="00353F52"/>
    <w:rsid w:val="00357301"/>
    <w:rsid w:val="0036224C"/>
    <w:rsid w:val="00362641"/>
    <w:rsid w:val="003658C0"/>
    <w:rsid w:val="003731AA"/>
    <w:rsid w:val="003837AE"/>
    <w:rsid w:val="003847B9"/>
    <w:rsid w:val="00394BE5"/>
    <w:rsid w:val="003B3EAC"/>
    <w:rsid w:val="003C5052"/>
    <w:rsid w:val="003E1D4F"/>
    <w:rsid w:val="003E3F91"/>
    <w:rsid w:val="003E442F"/>
    <w:rsid w:val="003E5CA2"/>
    <w:rsid w:val="003F3521"/>
    <w:rsid w:val="003F65CB"/>
    <w:rsid w:val="004014C2"/>
    <w:rsid w:val="004145EB"/>
    <w:rsid w:val="00427315"/>
    <w:rsid w:val="004277D8"/>
    <w:rsid w:val="00431472"/>
    <w:rsid w:val="004328DA"/>
    <w:rsid w:val="004379FA"/>
    <w:rsid w:val="00442D84"/>
    <w:rsid w:val="00443D72"/>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C4C0E"/>
    <w:rsid w:val="004C4CD7"/>
    <w:rsid w:val="004C7F05"/>
    <w:rsid w:val="004D3BE6"/>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21458"/>
    <w:rsid w:val="005238D8"/>
    <w:rsid w:val="005245C4"/>
    <w:rsid w:val="00525757"/>
    <w:rsid w:val="005303CE"/>
    <w:rsid w:val="005333FD"/>
    <w:rsid w:val="00533454"/>
    <w:rsid w:val="00571F52"/>
    <w:rsid w:val="00573017"/>
    <w:rsid w:val="00573305"/>
    <w:rsid w:val="005749C0"/>
    <w:rsid w:val="0058098D"/>
    <w:rsid w:val="00581DD8"/>
    <w:rsid w:val="00584252"/>
    <w:rsid w:val="00585D36"/>
    <w:rsid w:val="00593750"/>
    <w:rsid w:val="005A1EBB"/>
    <w:rsid w:val="005A2DCA"/>
    <w:rsid w:val="005A5A68"/>
    <w:rsid w:val="005A69EF"/>
    <w:rsid w:val="005B1410"/>
    <w:rsid w:val="005C343E"/>
    <w:rsid w:val="005D4518"/>
    <w:rsid w:val="005E05EB"/>
    <w:rsid w:val="005E1134"/>
    <w:rsid w:val="005E3066"/>
    <w:rsid w:val="005E7EC1"/>
    <w:rsid w:val="005F0D9F"/>
    <w:rsid w:val="005F15B4"/>
    <w:rsid w:val="006010E1"/>
    <w:rsid w:val="006046D1"/>
    <w:rsid w:val="00605CA2"/>
    <w:rsid w:val="006315F3"/>
    <w:rsid w:val="00632214"/>
    <w:rsid w:val="0063325D"/>
    <w:rsid w:val="006335CA"/>
    <w:rsid w:val="0063603E"/>
    <w:rsid w:val="006523A1"/>
    <w:rsid w:val="00655166"/>
    <w:rsid w:val="0066133D"/>
    <w:rsid w:val="00673C64"/>
    <w:rsid w:val="00676D0A"/>
    <w:rsid w:val="00687306"/>
    <w:rsid w:val="00690105"/>
    <w:rsid w:val="00694218"/>
    <w:rsid w:val="00695198"/>
    <w:rsid w:val="00697321"/>
    <w:rsid w:val="006A1EDE"/>
    <w:rsid w:val="006A468A"/>
    <w:rsid w:val="006A4F98"/>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529F"/>
    <w:rsid w:val="007076D4"/>
    <w:rsid w:val="00713990"/>
    <w:rsid w:val="00715006"/>
    <w:rsid w:val="00717931"/>
    <w:rsid w:val="00722D9A"/>
    <w:rsid w:val="007273B7"/>
    <w:rsid w:val="00731417"/>
    <w:rsid w:val="00731B75"/>
    <w:rsid w:val="00733557"/>
    <w:rsid w:val="007357BA"/>
    <w:rsid w:val="00752074"/>
    <w:rsid w:val="00755DAD"/>
    <w:rsid w:val="00764C12"/>
    <w:rsid w:val="00774188"/>
    <w:rsid w:val="00790FD3"/>
    <w:rsid w:val="0079397D"/>
    <w:rsid w:val="00797CE5"/>
    <w:rsid w:val="007A2C2D"/>
    <w:rsid w:val="007A2FDE"/>
    <w:rsid w:val="007A6AD6"/>
    <w:rsid w:val="007A7DB3"/>
    <w:rsid w:val="007D102E"/>
    <w:rsid w:val="007D1DDA"/>
    <w:rsid w:val="007E213D"/>
    <w:rsid w:val="007E49FF"/>
    <w:rsid w:val="007E7A17"/>
    <w:rsid w:val="007F1AAC"/>
    <w:rsid w:val="007F280C"/>
    <w:rsid w:val="007F51F7"/>
    <w:rsid w:val="007F6475"/>
    <w:rsid w:val="00811281"/>
    <w:rsid w:val="00811EE6"/>
    <w:rsid w:val="00813777"/>
    <w:rsid w:val="00821B2A"/>
    <w:rsid w:val="00821EA6"/>
    <w:rsid w:val="0082225D"/>
    <w:rsid w:val="00822C0C"/>
    <w:rsid w:val="00822EAB"/>
    <w:rsid w:val="00823DBC"/>
    <w:rsid w:val="008326A2"/>
    <w:rsid w:val="00834C27"/>
    <w:rsid w:val="0084109E"/>
    <w:rsid w:val="008512C4"/>
    <w:rsid w:val="00853AD5"/>
    <w:rsid w:val="00856B34"/>
    <w:rsid w:val="00857D94"/>
    <w:rsid w:val="00860630"/>
    <w:rsid w:val="00861DD5"/>
    <w:rsid w:val="00861F40"/>
    <w:rsid w:val="008624B8"/>
    <w:rsid w:val="0087094B"/>
    <w:rsid w:val="00874221"/>
    <w:rsid w:val="008749C5"/>
    <w:rsid w:val="0087639E"/>
    <w:rsid w:val="0088008F"/>
    <w:rsid w:val="00894F33"/>
    <w:rsid w:val="00897BBB"/>
    <w:rsid w:val="008A342F"/>
    <w:rsid w:val="008B08D4"/>
    <w:rsid w:val="008B3FE5"/>
    <w:rsid w:val="008D2AA7"/>
    <w:rsid w:val="008D4451"/>
    <w:rsid w:val="008D4E44"/>
    <w:rsid w:val="008E4DB8"/>
    <w:rsid w:val="008E5A26"/>
    <w:rsid w:val="008F6695"/>
    <w:rsid w:val="00901280"/>
    <w:rsid w:val="00910ACE"/>
    <w:rsid w:val="00935583"/>
    <w:rsid w:val="00946690"/>
    <w:rsid w:val="00952C5E"/>
    <w:rsid w:val="0096767C"/>
    <w:rsid w:val="00974CDA"/>
    <w:rsid w:val="009756CF"/>
    <w:rsid w:val="0097694B"/>
    <w:rsid w:val="009913C6"/>
    <w:rsid w:val="00992DD0"/>
    <w:rsid w:val="00992E43"/>
    <w:rsid w:val="00992FB9"/>
    <w:rsid w:val="00993A11"/>
    <w:rsid w:val="00995052"/>
    <w:rsid w:val="009968A4"/>
    <w:rsid w:val="009A113C"/>
    <w:rsid w:val="009A1C04"/>
    <w:rsid w:val="009A4118"/>
    <w:rsid w:val="009A5594"/>
    <w:rsid w:val="009A55EE"/>
    <w:rsid w:val="009B2DB0"/>
    <w:rsid w:val="009B355D"/>
    <w:rsid w:val="009B35A1"/>
    <w:rsid w:val="009C034B"/>
    <w:rsid w:val="009C3435"/>
    <w:rsid w:val="009C60C9"/>
    <w:rsid w:val="009D4CD0"/>
    <w:rsid w:val="009E658F"/>
    <w:rsid w:val="009F27F0"/>
    <w:rsid w:val="009F3A4D"/>
    <w:rsid w:val="009F494E"/>
    <w:rsid w:val="009F52B5"/>
    <w:rsid w:val="009F7E4F"/>
    <w:rsid w:val="00A0778E"/>
    <w:rsid w:val="00A109D3"/>
    <w:rsid w:val="00A10FB3"/>
    <w:rsid w:val="00A112A7"/>
    <w:rsid w:val="00A11D55"/>
    <w:rsid w:val="00A11EEF"/>
    <w:rsid w:val="00A20540"/>
    <w:rsid w:val="00A23953"/>
    <w:rsid w:val="00A26510"/>
    <w:rsid w:val="00A26ACD"/>
    <w:rsid w:val="00A40BC0"/>
    <w:rsid w:val="00A45065"/>
    <w:rsid w:val="00A47701"/>
    <w:rsid w:val="00A51B63"/>
    <w:rsid w:val="00A5595B"/>
    <w:rsid w:val="00A55E8F"/>
    <w:rsid w:val="00A603B0"/>
    <w:rsid w:val="00A63D46"/>
    <w:rsid w:val="00A650CB"/>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D2A5B"/>
    <w:rsid w:val="00AD3F0A"/>
    <w:rsid w:val="00AD7CC1"/>
    <w:rsid w:val="00AE17DA"/>
    <w:rsid w:val="00AE2CAC"/>
    <w:rsid w:val="00AE67AF"/>
    <w:rsid w:val="00AE74C8"/>
    <w:rsid w:val="00AF4C71"/>
    <w:rsid w:val="00AF4FFC"/>
    <w:rsid w:val="00B0094D"/>
    <w:rsid w:val="00B0573A"/>
    <w:rsid w:val="00B06C0B"/>
    <w:rsid w:val="00B110E2"/>
    <w:rsid w:val="00B11DCE"/>
    <w:rsid w:val="00B32761"/>
    <w:rsid w:val="00B35827"/>
    <w:rsid w:val="00B37A1A"/>
    <w:rsid w:val="00B5080B"/>
    <w:rsid w:val="00B52CA4"/>
    <w:rsid w:val="00B53F41"/>
    <w:rsid w:val="00B575F9"/>
    <w:rsid w:val="00B6170E"/>
    <w:rsid w:val="00B631CC"/>
    <w:rsid w:val="00B6793C"/>
    <w:rsid w:val="00B72963"/>
    <w:rsid w:val="00B80323"/>
    <w:rsid w:val="00B822E7"/>
    <w:rsid w:val="00B96606"/>
    <w:rsid w:val="00BA2CB0"/>
    <w:rsid w:val="00BA3D00"/>
    <w:rsid w:val="00BB17D5"/>
    <w:rsid w:val="00BB1C7C"/>
    <w:rsid w:val="00BB2CEE"/>
    <w:rsid w:val="00BC27BA"/>
    <w:rsid w:val="00BC321C"/>
    <w:rsid w:val="00BC345B"/>
    <w:rsid w:val="00BC58B0"/>
    <w:rsid w:val="00BC5D49"/>
    <w:rsid w:val="00BD1C85"/>
    <w:rsid w:val="00BD2E7F"/>
    <w:rsid w:val="00BE6009"/>
    <w:rsid w:val="00BE70E2"/>
    <w:rsid w:val="00BF4284"/>
    <w:rsid w:val="00BF5EB8"/>
    <w:rsid w:val="00BF6138"/>
    <w:rsid w:val="00C01267"/>
    <w:rsid w:val="00C10A16"/>
    <w:rsid w:val="00C121E8"/>
    <w:rsid w:val="00C16E17"/>
    <w:rsid w:val="00C2217F"/>
    <w:rsid w:val="00C237A0"/>
    <w:rsid w:val="00C239B0"/>
    <w:rsid w:val="00C24C2A"/>
    <w:rsid w:val="00C26D8F"/>
    <w:rsid w:val="00C311B4"/>
    <w:rsid w:val="00C32376"/>
    <w:rsid w:val="00C3297B"/>
    <w:rsid w:val="00C33061"/>
    <w:rsid w:val="00C410C4"/>
    <w:rsid w:val="00C46CAB"/>
    <w:rsid w:val="00C52D30"/>
    <w:rsid w:val="00C61728"/>
    <w:rsid w:val="00C64829"/>
    <w:rsid w:val="00C64C95"/>
    <w:rsid w:val="00C6646C"/>
    <w:rsid w:val="00C668C5"/>
    <w:rsid w:val="00C74703"/>
    <w:rsid w:val="00C75DF8"/>
    <w:rsid w:val="00C76ACB"/>
    <w:rsid w:val="00C8119F"/>
    <w:rsid w:val="00C835AD"/>
    <w:rsid w:val="00C8422C"/>
    <w:rsid w:val="00C8780B"/>
    <w:rsid w:val="00C87D14"/>
    <w:rsid w:val="00C92D46"/>
    <w:rsid w:val="00C95BD4"/>
    <w:rsid w:val="00C97F54"/>
    <w:rsid w:val="00CB1D35"/>
    <w:rsid w:val="00CB1F15"/>
    <w:rsid w:val="00CB74A1"/>
    <w:rsid w:val="00CC0351"/>
    <w:rsid w:val="00CC6EA0"/>
    <w:rsid w:val="00CD206A"/>
    <w:rsid w:val="00CD357D"/>
    <w:rsid w:val="00CD74AB"/>
    <w:rsid w:val="00CE727D"/>
    <w:rsid w:val="00CE7325"/>
    <w:rsid w:val="00CF5660"/>
    <w:rsid w:val="00CF6911"/>
    <w:rsid w:val="00D01AE3"/>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A06B2"/>
    <w:rsid w:val="00DA283D"/>
    <w:rsid w:val="00DA517F"/>
    <w:rsid w:val="00DA63D9"/>
    <w:rsid w:val="00DB0BED"/>
    <w:rsid w:val="00DB4F27"/>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75DD"/>
    <w:rsid w:val="00E218D8"/>
    <w:rsid w:val="00E22F3E"/>
    <w:rsid w:val="00E239CA"/>
    <w:rsid w:val="00E2552B"/>
    <w:rsid w:val="00E263DA"/>
    <w:rsid w:val="00E3105F"/>
    <w:rsid w:val="00E40492"/>
    <w:rsid w:val="00E415DE"/>
    <w:rsid w:val="00E44B97"/>
    <w:rsid w:val="00E44D8D"/>
    <w:rsid w:val="00E472E6"/>
    <w:rsid w:val="00E477B4"/>
    <w:rsid w:val="00E52758"/>
    <w:rsid w:val="00E620D2"/>
    <w:rsid w:val="00E66023"/>
    <w:rsid w:val="00E864D5"/>
    <w:rsid w:val="00E86FCB"/>
    <w:rsid w:val="00E914D3"/>
    <w:rsid w:val="00E95BF8"/>
    <w:rsid w:val="00EA00A5"/>
    <w:rsid w:val="00EA543A"/>
    <w:rsid w:val="00EA578E"/>
    <w:rsid w:val="00EB2C3B"/>
    <w:rsid w:val="00EB3012"/>
    <w:rsid w:val="00EB3155"/>
    <w:rsid w:val="00EB4112"/>
    <w:rsid w:val="00EB5336"/>
    <w:rsid w:val="00EC5818"/>
    <w:rsid w:val="00EC6388"/>
    <w:rsid w:val="00ED0888"/>
    <w:rsid w:val="00ED2225"/>
    <w:rsid w:val="00ED691C"/>
    <w:rsid w:val="00EE3BFE"/>
    <w:rsid w:val="00EF3250"/>
    <w:rsid w:val="00F1032E"/>
    <w:rsid w:val="00F10545"/>
    <w:rsid w:val="00F13114"/>
    <w:rsid w:val="00F15554"/>
    <w:rsid w:val="00F15677"/>
    <w:rsid w:val="00F17D38"/>
    <w:rsid w:val="00F27BA3"/>
    <w:rsid w:val="00F311BB"/>
    <w:rsid w:val="00F3172A"/>
    <w:rsid w:val="00F31F30"/>
    <w:rsid w:val="00F32353"/>
    <w:rsid w:val="00F35596"/>
    <w:rsid w:val="00F36758"/>
    <w:rsid w:val="00F405F8"/>
    <w:rsid w:val="00F427A8"/>
    <w:rsid w:val="00F51E7F"/>
    <w:rsid w:val="00F544E9"/>
    <w:rsid w:val="00F61571"/>
    <w:rsid w:val="00F73310"/>
    <w:rsid w:val="00F740DF"/>
    <w:rsid w:val="00F7422A"/>
    <w:rsid w:val="00F74DEB"/>
    <w:rsid w:val="00F77A8D"/>
    <w:rsid w:val="00F83641"/>
    <w:rsid w:val="00F86D0B"/>
    <w:rsid w:val="00F923C1"/>
    <w:rsid w:val="00F94414"/>
    <w:rsid w:val="00FA171F"/>
    <w:rsid w:val="00FA5797"/>
    <w:rsid w:val="00FA6F2F"/>
    <w:rsid w:val="00FB1681"/>
    <w:rsid w:val="00FC1451"/>
    <w:rsid w:val="00FC37EB"/>
    <w:rsid w:val="00FC3EF9"/>
    <w:rsid w:val="00FC420E"/>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3C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1422</Words>
  <Characters>8107</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9510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Davis</dc:creator>
  <cp:lastModifiedBy>Mark Davis</cp:lastModifiedBy>
  <cp:revision>31</cp:revision>
  <cp:lastPrinted>2013-12-05T20:36:00Z</cp:lastPrinted>
  <dcterms:created xsi:type="dcterms:W3CDTF">2015-02-19T18:36:00Z</dcterms:created>
  <dcterms:modified xsi:type="dcterms:W3CDTF">2015-02-19T19:48:00Z</dcterms:modified>
</cp:coreProperties>
</file>