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01" w:rsidRPr="003F65CB" w:rsidRDefault="00713990" w:rsidP="00713990">
      <w:pPr>
        <w:jc w:val="center"/>
        <w:rPr>
          <w:rFonts w:asciiTheme="majorHAnsi" w:hAnsiTheme="majorHAnsi"/>
          <w:b/>
          <w:i/>
        </w:rPr>
      </w:pPr>
      <w:r w:rsidRPr="003F65CB">
        <w:rPr>
          <w:rFonts w:asciiTheme="majorHAnsi" w:hAnsiTheme="majorHAnsi"/>
          <w:b/>
          <w:i/>
        </w:rPr>
        <w:t>OPRA Board of Trustees</w:t>
      </w:r>
    </w:p>
    <w:p w:rsidR="00713990" w:rsidRPr="003F65CB" w:rsidRDefault="00713990" w:rsidP="00713990">
      <w:pPr>
        <w:jc w:val="center"/>
        <w:rPr>
          <w:rFonts w:asciiTheme="majorHAnsi" w:hAnsiTheme="majorHAnsi"/>
          <w:b/>
          <w:i/>
        </w:rPr>
      </w:pPr>
      <w:r w:rsidRPr="003F65CB">
        <w:rPr>
          <w:rFonts w:asciiTheme="majorHAnsi" w:hAnsiTheme="majorHAnsi"/>
          <w:b/>
          <w:i/>
        </w:rPr>
        <w:t>Consent Agenda</w:t>
      </w:r>
    </w:p>
    <w:p w:rsidR="00713990" w:rsidRDefault="003E3F91" w:rsidP="00713990">
      <w:pPr>
        <w:jc w:val="center"/>
        <w:rPr>
          <w:rFonts w:asciiTheme="majorHAnsi" w:hAnsiTheme="majorHAnsi"/>
          <w:b/>
          <w:i/>
        </w:rPr>
      </w:pPr>
      <w:r>
        <w:rPr>
          <w:rFonts w:asciiTheme="majorHAnsi" w:hAnsiTheme="majorHAnsi"/>
          <w:b/>
          <w:i/>
        </w:rPr>
        <w:t>January 28, 2015</w:t>
      </w:r>
    </w:p>
    <w:p w:rsidR="001A6157" w:rsidRPr="006C7C3B" w:rsidRDefault="00857D94" w:rsidP="006C7C3B">
      <w:pPr>
        <w:jc w:val="center"/>
        <w:rPr>
          <w:rFonts w:asciiTheme="majorHAnsi" w:hAnsiTheme="majorHAnsi"/>
          <w:b/>
          <w:i/>
          <w:color w:val="FF0000"/>
          <w:u w:val="single"/>
        </w:rPr>
      </w:pPr>
      <w:r>
        <w:rPr>
          <w:rFonts w:asciiTheme="majorHAnsi" w:hAnsiTheme="majorHAnsi"/>
          <w:b/>
          <w:i/>
          <w:color w:val="FF0000"/>
          <w:u w:val="single"/>
        </w:rPr>
        <w:t>NOTE:  Some of the information is carried over from the prior month.  Updates are in red font and underlined.</w:t>
      </w:r>
    </w:p>
    <w:p w:rsidR="001A6157" w:rsidRPr="003F65CB" w:rsidRDefault="001A6157">
      <w:pPr>
        <w:rPr>
          <w:rFonts w:asciiTheme="majorHAnsi" w:hAnsiTheme="majorHAnsi"/>
        </w:rPr>
      </w:pPr>
    </w:p>
    <w:p w:rsidR="008D2AA7" w:rsidRPr="003F65CB" w:rsidRDefault="00E40492">
      <w:pPr>
        <w:rPr>
          <w:rFonts w:asciiTheme="majorHAnsi" w:hAnsiTheme="majorHAnsi" w:cs="Calibri"/>
          <w:b/>
          <w:i/>
        </w:rPr>
      </w:pPr>
      <w:r w:rsidRPr="003F65CB">
        <w:rPr>
          <w:rFonts w:asciiTheme="majorHAnsi" w:hAnsiTheme="majorHAnsi" w:cs="Calibri"/>
          <w:b/>
          <w:i/>
        </w:rPr>
        <w:t xml:space="preserve">A.  </w:t>
      </w:r>
      <w:r w:rsidR="008D2AA7" w:rsidRPr="003F65CB">
        <w:rPr>
          <w:rFonts w:asciiTheme="majorHAnsi" w:hAnsiTheme="majorHAnsi" w:cs="Calibri"/>
          <w:b/>
          <w:i/>
        </w:rPr>
        <w:t>Efficiencies and Simplification Focus Area</w:t>
      </w:r>
    </w:p>
    <w:p w:rsidR="00713990" w:rsidRPr="003F65CB" w:rsidRDefault="008D2AA7">
      <w:pPr>
        <w:rPr>
          <w:rFonts w:asciiTheme="majorHAnsi" w:hAnsiTheme="majorHAnsi" w:cs="Calibri"/>
          <w:b/>
        </w:rPr>
      </w:pPr>
      <w:proofErr w:type="gramStart"/>
      <w:r w:rsidRPr="003F65CB">
        <w:rPr>
          <w:rFonts w:asciiTheme="majorHAnsi" w:hAnsiTheme="majorHAnsi" w:cs="Calibri"/>
          <w:b/>
        </w:rPr>
        <w:t xml:space="preserve">1.  </w:t>
      </w:r>
      <w:r w:rsidR="00713990" w:rsidRPr="003F65CB">
        <w:rPr>
          <w:rFonts w:asciiTheme="majorHAnsi" w:hAnsiTheme="majorHAnsi" w:cs="Calibri"/>
          <w:b/>
        </w:rPr>
        <w:t>Licensure</w:t>
      </w:r>
      <w:proofErr w:type="gramEnd"/>
      <w:r w:rsidR="00713990" w:rsidRPr="003F65CB">
        <w:rPr>
          <w:rFonts w:asciiTheme="majorHAnsi" w:hAnsiTheme="majorHAnsi" w:cs="Calibri"/>
          <w:b/>
        </w:rPr>
        <w:t xml:space="preserve"> and County Board Accreditation/National Accreditation</w:t>
      </w:r>
    </w:p>
    <w:p w:rsidR="00713990" w:rsidRPr="009756CF" w:rsidRDefault="0027185A">
      <w:pPr>
        <w:rPr>
          <w:rFonts w:asciiTheme="majorHAnsi" w:hAnsiTheme="majorHAnsi" w:cs="Calibri"/>
          <w:color w:val="FF0000"/>
          <w:u w:val="single"/>
        </w:rPr>
      </w:pPr>
      <w:r w:rsidRPr="009756CF">
        <w:rPr>
          <w:rFonts w:asciiTheme="majorHAnsi" w:hAnsiTheme="majorHAnsi" w:cs="Calibri"/>
          <w:color w:val="FF0000"/>
          <w:u w:val="single"/>
        </w:rPr>
        <w:t xml:space="preserve">The Partnership is continuing to pursue abbreviated reviews for county board accreditation and licensure.  Nancy Neely and Mark Davis are coordinating this effort for the Partnership.  </w:t>
      </w:r>
      <w:r w:rsidR="00B822E7" w:rsidRPr="009756CF">
        <w:rPr>
          <w:rFonts w:asciiTheme="majorHAnsi" w:hAnsiTheme="majorHAnsi" w:cs="Calibri"/>
          <w:color w:val="FF0000"/>
          <w:u w:val="single"/>
        </w:rPr>
        <w:t xml:space="preserve">The Partnership </w:t>
      </w:r>
      <w:r w:rsidR="005245C4" w:rsidRPr="009756CF">
        <w:rPr>
          <w:rFonts w:asciiTheme="majorHAnsi" w:hAnsiTheme="majorHAnsi" w:cs="Calibri"/>
          <w:color w:val="FF0000"/>
          <w:u w:val="single"/>
        </w:rPr>
        <w:t>recently agreed to</w:t>
      </w:r>
      <w:r w:rsidRPr="009756CF">
        <w:rPr>
          <w:rFonts w:asciiTheme="majorHAnsi" w:hAnsiTheme="majorHAnsi" w:cs="Calibri"/>
          <w:color w:val="FF0000"/>
          <w:u w:val="single"/>
        </w:rPr>
        <w:t xml:space="preserve"> send a letter to Director Martin, requesting a meeting to discuss making this effort a priority.  </w:t>
      </w:r>
    </w:p>
    <w:p w:rsidR="00B0573A" w:rsidRPr="003F65CB" w:rsidRDefault="00B0573A">
      <w:pPr>
        <w:rPr>
          <w:rFonts w:asciiTheme="majorHAnsi" w:hAnsiTheme="majorHAnsi" w:cs="Calibri"/>
        </w:rPr>
      </w:pPr>
    </w:p>
    <w:p w:rsidR="00507754" w:rsidRPr="00C10A16" w:rsidRDefault="00A40BC0">
      <w:pPr>
        <w:rPr>
          <w:rFonts w:asciiTheme="majorHAnsi" w:hAnsiTheme="majorHAnsi" w:cs="Calibri"/>
          <w:b/>
        </w:rPr>
      </w:pPr>
      <w:r w:rsidRPr="003F65CB">
        <w:rPr>
          <w:rFonts w:asciiTheme="majorHAnsi" w:hAnsiTheme="majorHAnsi" w:cs="Calibri"/>
          <w:b/>
        </w:rPr>
        <w:t xml:space="preserve">2.  </w:t>
      </w:r>
      <w:r w:rsidR="00752074" w:rsidRPr="003F65CB">
        <w:rPr>
          <w:rFonts w:asciiTheme="majorHAnsi" w:hAnsiTheme="majorHAnsi" w:cs="Calibri"/>
          <w:b/>
        </w:rPr>
        <w:t>Background Check</w:t>
      </w:r>
      <w:r w:rsidRPr="003F65CB">
        <w:rPr>
          <w:rFonts w:asciiTheme="majorHAnsi" w:hAnsiTheme="majorHAnsi" w:cs="Calibri"/>
          <w:b/>
        </w:rPr>
        <w:t>s -</w:t>
      </w:r>
      <w:r w:rsidR="00752074" w:rsidRPr="003F65CB">
        <w:rPr>
          <w:rFonts w:asciiTheme="majorHAnsi" w:hAnsiTheme="majorHAnsi" w:cs="Calibri"/>
          <w:b/>
        </w:rPr>
        <w:t xml:space="preserve"> </w:t>
      </w:r>
      <w:proofErr w:type="spellStart"/>
      <w:r w:rsidR="00752074" w:rsidRPr="003F65CB">
        <w:rPr>
          <w:rFonts w:asciiTheme="majorHAnsi" w:hAnsiTheme="majorHAnsi" w:cs="Calibri"/>
          <w:b/>
        </w:rPr>
        <w:t>Rap</w:t>
      </w:r>
      <w:r w:rsidR="00AA5EC1" w:rsidRPr="003F65CB">
        <w:rPr>
          <w:rFonts w:asciiTheme="majorHAnsi" w:hAnsiTheme="majorHAnsi" w:cs="Calibri"/>
          <w:b/>
        </w:rPr>
        <w:t>b</w:t>
      </w:r>
      <w:r w:rsidR="00752074" w:rsidRPr="003F65CB">
        <w:rPr>
          <w:rFonts w:asciiTheme="majorHAnsi" w:hAnsiTheme="majorHAnsi" w:cs="Calibri"/>
          <w:b/>
        </w:rPr>
        <w:t>ack</w:t>
      </w:r>
      <w:proofErr w:type="spellEnd"/>
    </w:p>
    <w:p w:rsidR="00EA578E" w:rsidRPr="00BF4284" w:rsidRDefault="0054135B">
      <w:pPr>
        <w:rPr>
          <w:rFonts w:asciiTheme="majorHAnsi" w:hAnsiTheme="majorHAnsi" w:cs="Calibri"/>
          <w:color w:val="FF0000"/>
          <w:u w:val="single"/>
        </w:rPr>
      </w:pPr>
      <w:r w:rsidRPr="0054135B">
        <w:rPr>
          <w:rFonts w:asciiTheme="majorHAnsi" w:hAnsiTheme="majorHAnsi" w:cs="Calibri"/>
        </w:rPr>
        <w:t>Several members have reported problems accessing the system. Although not widespread, ODM has been experiencing IT problems and is fixing issues one provider at a time. Anita is coordinating with ODM.</w:t>
      </w:r>
      <w:r>
        <w:rPr>
          <w:rFonts w:asciiTheme="majorHAnsi" w:hAnsiTheme="majorHAnsi" w:cs="Calibri"/>
        </w:rPr>
        <w:t xml:space="preserve">  </w:t>
      </w:r>
      <w:r w:rsidR="00A10FB3" w:rsidRPr="00BF4284">
        <w:rPr>
          <w:rFonts w:asciiTheme="majorHAnsi" w:hAnsiTheme="majorHAnsi" w:cs="Calibri"/>
          <w:color w:val="FF0000"/>
          <w:u w:val="single"/>
        </w:rPr>
        <w:t xml:space="preserve">The </w:t>
      </w:r>
      <w:r w:rsidR="00BF4284" w:rsidRPr="00BF4284">
        <w:rPr>
          <w:rFonts w:asciiTheme="majorHAnsi" w:hAnsiTheme="majorHAnsi" w:cs="Calibri"/>
          <w:color w:val="FF0000"/>
          <w:u w:val="single"/>
        </w:rPr>
        <w:t>Automated Registry Check System</w:t>
      </w:r>
      <w:r w:rsidR="00AA5EC1" w:rsidRPr="00BF4284">
        <w:rPr>
          <w:rFonts w:asciiTheme="majorHAnsi" w:hAnsiTheme="majorHAnsi" w:cs="Calibri"/>
          <w:color w:val="FF0000"/>
          <w:u w:val="single"/>
        </w:rPr>
        <w:t xml:space="preserve"> </w:t>
      </w:r>
      <w:r w:rsidR="00BF4284" w:rsidRPr="00BF4284">
        <w:rPr>
          <w:rFonts w:asciiTheme="majorHAnsi" w:hAnsiTheme="majorHAnsi" w:cs="Calibri"/>
          <w:color w:val="FF0000"/>
          <w:u w:val="single"/>
        </w:rPr>
        <w:t>(</w:t>
      </w:r>
      <w:r w:rsidR="00AA5EC1" w:rsidRPr="00BF4284">
        <w:rPr>
          <w:rFonts w:asciiTheme="majorHAnsi" w:hAnsiTheme="majorHAnsi" w:cs="Calibri"/>
          <w:color w:val="FF0000"/>
          <w:u w:val="single"/>
        </w:rPr>
        <w:t>ARCS</w:t>
      </w:r>
      <w:r w:rsidR="00BF4284" w:rsidRPr="00BF4284">
        <w:rPr>
          <w:rFonts w:asciiTheme="majorHAnsi" w:hAnsiTheme="majorHAnsi" w:cs="Calibri"/>
          <w:color w:val="FF0000"/>
          <w:u w:val="single"/>
        </w:rPr>
        <w:t>) is now available to all HCBS waiver providers in Ohio.  It is also available for ICF providers.  It is</w:t>
      </w:r>
      <w:r w:rsidR="00AA5EC1" w:rsidRPr="00BF4284">
        <w:rPr>
          <w:rFonts w:asciiTheme="majorHAnsi" w:hAnsiTheme="majorHAnsi" w:cs="Calibri"/>
          <w:color w:val="FF0000"/>
          <w:u w:val="single"/>
        </w:rPr>
        <w:t xml:space="preserve"> one portal for providers to enter data for all registries.  The state is preparing to extend </w:t>
      </w:r>
      <w:proofErr w:type="spellStart"/>
      <w:r w:rsidR="00AA5EC1" w:rsidRPr="00BF4284">
        <w:rPr>
          <w:rFonts w:asciiTheme="majorHAnsi" w:hAnsiTheme="majorHAnsi" w:cs="Calibri"/>
          <w:color w:val="FF0000"/>
          <w:u w:val="single"/>
        </w:rPr>
        <w:t>Rapback</w:t>
      </w:r>
      <w:proofErr w:type="spellEnd"/>
      <w:r w:rsidR="00AA5EC1" w:rsidRPr="00BF4284">
        <w:rPr>
          <w:rFonts w:asciiTheme="majorHAnsi" w:hAnsiTheme="majorHAnsi" w:cs="Calibri"/>
          <w:color w:val="FF0000"/>
          <w:u w:val="single"/>
        </w:rPr>
        <w:t xml:space="preserve"> to DD and other providers</w:t>
      </w:r>
      <w:r w:rsidR="00BF4284" w:rsidRPr="00BF4284">
        <w:rPr>
          <w:rFonts w:asciiTheme="majorHAnsi" w:hAnsiTheme="majorHAnsi" w:cs="Calibri"/>
          <w:color w:val="FF0000"/>
          <w:u w:val="single"/>
        </w:rPr>
        <w:t xml:space="preserve"> soon</w:t>
      </w:r>
      <w:r w:rsidR="00B37A1A" w:rsidRPr="00BF4284">
        <w:rPr>
          <w:rFonts w:asciiTheme="majorHAnsi" w:hAnsiTheme="majorHAnsi" w:cs="Calibri"/>
          <w:color w:val="FF0000"/>
          <w:u w:val="single"/>
        </w:rPr>
        <w:t>.</w:t>
      </w:r>
      <w:r w:rsidR="00BF4284" w:rsidRPr="00BF4284">
        <w:rPr>
          <w:rFonts w:asciiTheme="majorHAnsi" w:hAnsiTheme="majorHAnsi" w:cs="Calibri"/>
          <w:color w:val="FF0000"/>
          <w:u w:val="single"/>
        </w:rPr>
        <w:t xml:space="preserve"> </w:t>
      </w:r>
    </w:p>
    <w:p w:rsidR="00857D94" w:rsidRPr="003F65CB" w:rsidRDefault="00857D94">
      <w:pPr>
        <w:rPr>
          <w:rFonts w:asciiTheme="majorHAnsi" w:hAnsiTheme="majorHAnsi" w:cs="Calibri"/>
        </w:rPr>
      </w:pPr>
    </w:p>
    <w:p w:rsidR="00FC420E" w:rsidRPr="003F65CB" w:rsidRDefault="00FC420E" w:rsidP="00FC420E">
      <w:pPr>
        <w:rPr>
          <w:rFonts w:asciiTheme="majorHAnsi" w:hAnsiTheme="majorHAnsi"/>
        </w:rPr>
      </w:pPr>
      <w:r w:rsidRPr="003F65CB">
        <w:rPr>
          <w:rFonts w:asciiTheme="majorHAnsi" w:hAnsiTheme="majorHAnsi"/>
          <w:b/>
        </w:rPr>
        <w:t>3.  SSA and Program Management</w:t>
      </w:r>
    </w:p>
    <w:p w:rsidR="00FC420E" w:rsidRPr="003658C0" w:rsidRDefault="009756CF" w:rsidP="00FC420E">
      <w:pPr>
        <w:rPr>
          <w:rFonts w:asciiTheme="majorHAnsi" w:hAnsiTheme="majorHAnsi"/>
          <w:color w:val="FF0000"/>
          <w:u w:val="single"/>
        </w:rPr>
      </w:pPr>
      <w:r>
        <w:rPr>
          <w:rFonts w:asciiTheme="majorHAnsi" w:hAnsiTheme="majorHAnsi"/>
        </w:rPr>
        <w:t xml:space="preserve">CMS has informed DODD that an end date is needed, for county boards to discontinue delivering HCBS as the boards also deliver TCM.  </w:t>
      </w:r>
      <w:r w:rsidR="00081F72">
        <w:rPr>
          <w:rFonts w:asciiTheme="majorHAnsi" w:hAnsiTheme="majorHAnsi"/>
        </w:rPr>
        <w:t xml:space="preserve">It is expected that DODD will attempt to negotiate a </w:t>
      </w:r>
      <w:proofErr w:type="gramStart"/>
      <w:r w:rsidR="00081F72">
        <w:rPr>
          <w:rFonts w:asciiTheme="majorHAnsi" w:hAnsiTheme="majorHAnsi"/>
        </w:rPr>
        <w:t>10 year</w:t>
      </w:r>
      <w:proofErr w:type="gramEnd"/>
      <w:r w:rsidR="00081F72">
        <w:rPr>
          <w:rFonts w:asciiTheme="majorHAnsi" w:hAnsiTheme="majorHAnsi"/>
        </w:rPr>
        <w:t xml:space="preserve"> timetable for county boards to be out of delivering HBCS.  </w:t>
      </w:r>
      <w:r w:rsidR="00FD0380" w:rsidRPr="009756CF">
        <w:rPr>
          <w:rFonts w:asciiTheme="majorHAnsi" w:hAnsiTheme="majorHAnsi"/>
          <w:color w:val="FF0000"/>
          <w:u w:val="single"/>
        </w:rPr>
        <w:t xml:space="preserve">DODD continues to refine expectations in light of the CMS transition plan. Current discussions are focused on Person Centered Planning. The conflict of interest issue is being addressed “outside” of the transition plan. </w:t>
      </w:r>
      <w:r w:rsidR="003658C0" w:rsidRPr="009756CF">
        <w:rPr>
          <w:rFonts w:asciiTheme="majorHAnsi" w:hAnsiTheme="majorHAnsi"/>
          <w:color w:val="FF0000"/>
          <w:u w:val="single"/>
        </w:rPr>
        <w:t>DODD had</w:t>
      </w:r>
      <w:r w:rsidR="00FD0380" w:rsidRPr="009756CF">
        <w:rPr>
          <w:rFonts w:asciiTheme="majorHAnsi" w:hAnsiTheme="majorHAnsi"/>
          <w:color w:val="FF0000"/>
          <w:u w:val="single"/>
        </w:rPr>
        <w:t xml:space="preserve"> a call with CMS to better</w:t>
      </w:r>
      <w:r w:rsidR="00FD0380" w:rsidRPr="003658C0">
        <w:rPr>
          <w:rFonts w:asciiTheme="majorHAnsi" w:hAnsiTheme="majorHAnsi"/>
          <w:color w:val="FF0000"/>
          <w:u w:val="single"/>
        </w:rPr>
        <w:t xml:space="preserve"> understand what it is they would like to see.</w:t>
      </w:r>
      <w:r w:rsidR="003658C0">
        <w:rPr>
          <w:rFonts w:asciiTheme="majorHAnsi" w:hAnsiTheme="majorHAnsi"/>
          <w:color w:val="FF0000"/>
          <w:u w:val="single"/>
        </w:rPr>
        <w:t xml:space="preserve">  CMS told DODD that the current state of TCM/HCBS waiver </w:t>
      </w:r>
      <w:proofErr w:type="gramStart"/>
      <w:r w:rsidR="003658C0">
        <w:rPr>
          <w:rFonts w:asciiTheme="majorHAnsi" w:hAnsiTheme="majorHAnsi"/>
          <w:color w:val="FF0000"/>
          <w:u w:val="single"/>
        </w:rPr>
        <w:t>providers needs</w:t>
      </w:r>
      <w:proofErr w:type="gramEnd"/>
      <w:r w:rsidR="003658C0">
        <w:rPr>
          <w:rFonts w:asciiTheme="majorHAnsi" w:hAnsiTheme="majorHAnsi"/>
          <w:color w:val="FF0000"/>
          <w:u w:val="single"/>
        </w:rPr>
        <w:t xml:space="preserve"> to change and that CMS will consider a revised firewalls document.</w:t>
      </w:r>
      <w:r w:rsidR="006C0ED6">
        <w:rPr>
          <w:rFonts w:asciiTheme="majorHAnsi" w:hAnsiTheme="majorHAnsi"/>
          <w:color w:val="FF0000"/>
          <w:u w:val="single"/>
        </w:rPr>
        <w:t xml:space="preserve">  DODD has informed OPRA, the state will propose closing the front door on</w:t>
      </w:r>
      <w:r w:rsidR="00C239B0">
        <w:rPr>
          <w:rFonts w:asciiTheme="majorHAnsi" w:hAnsiTheme="majorHAnsi"/>
          <w:color w:val="FF0000"/>
          <w:u w:val="single"/>
        </w:rPr>
        <w:t xml:space="preserve"> ADS enrollees to county boards, unless there is no other willing and qualified provider.  County boards will be permitted to continue providing both TCM and waiver serv</w:t>
      </w:r>
      <w:r w:rsidR="0063603E">
        <w:rPr>
          <w:rFonts w:asciiTheme="majorHAnsi" w:hAnsiTheme="majorHAnsi"/>
          <w:color w:val="FF0000"/>
          <w:u w:val="single"/>
        </w:rPr>
        <w:t>ices for their existing enrollee</w:t>
      </w:r>
      <w:r w:rsidR="00C239B0">
        <w:rPr>
          <w:rFonts w:asciiTheme="majorHAnsi" w:hAnsiTheme="majorHAnsi"/>
          <w:color w:val="FF0000"/>
          <w:u w:val="single"/>
        </w:rPr>
        <w:t>s.</w:t>
      </w:r>
    </w:p>
    <w:p w:rsidR="00FD0380" w:rsidRPr="003F65CB" w:rsidRDefault="00FD0380" w:rsidP="00FC420E">
      <w:pPr>
        <w:rPr>
          <w:rFonts w:asciiTheme="majorHAnsi" w:hAnsiTheme="majorHAnsi"/>
          <w:b/>
          <w:u w:val="single"/>
        </w:rPr>
      </w:pPr>
    </w:p>
    <w:p w:rsidR="00FC420E" w:rsidRPr="00C311B4" w:rsidRDefault="00FC420E" w:rsidP="00FC420E">
      <w:pPr>
        <w:rPr>
          <w:rFonts w:asciiTheme="majorHAnsi" w:hAnsiTheme="majorHAnsi"/>
        </w:rPr>
      </w:pPr>
      <w:r w:rsidRPr="00C311B4">
        <w:rPr>
          <w:rFonts w:asciiTheme="majorHAnsi" w:hAnsiTheme="majorHAnsi"/>
          <w:b/>
        </w:rPr>
        <w:t>4.  Behavior Support Rule</w:t>
      </w:r>
    </w:p>
    <w:p w:rsidR="00C311B4" w:rsidRPr="00B756CF" w:rsidRDefault="00B756CF" w:rsidP="00C311B4">
      <w:pPr>
        <w:rPr>
          <w:rFonts w:asciiTheme="majorHAnsi" w:hAnsiTheme="majorHAnsi"/>
          <w:color w:val="0070C0"/>
          <w:u w:val="single"/>
        </w:rPr>
      </w:pPr>
      <w:r w:rsidRPr="00B756CF">
        <w:rPr>
          <w:rFonts w:asciiTheme="majorHAnsi" w:hAnsiTheme="majorHAnsi"/>
        </w:rPr>
        <w:t xml:space="preserve">OADSP has developed a training curriculum and training dates have been set through April. DODD will also be offering webinars. DODD will be addressing the behavior add on problem prior to the first training date and will be sharing their plan with OPRA prior to making it public. “Preview” training sessions brought to light issues that will conflict with ICF </w:t>
      </w:r>
      <w:proofErr w:type="spellStart"/>
      <w:r w:rsidRPr="00B756CF">
        <w:rPr>
          <w:rFonts w:asciiTheme="majorHAnsi" w:hAnsiTheme="majorHAnsi"/>
        </w:rPr>
        <w:t>regs</w:t>
      </w:r>
      <w:proofErr w:type="spellEnd"/>
      <w:r w:rsidRPr="00B756CF">
        <w:rPr>
          <w:rFonts w:asciiTheme="majorHAnsi" w:hAnsiTheme="majorHAnsi"/>
        </w:rPr>
        <w:t>. Kate Haller will be the point person when there are conflicting citations and will coordinate efforts with ODH.</w:t>
      </w:r>
      <w:r>
        <w:rPr>
          <w:rFonts w:asciiTheme="majorHAnsi" w:hAnsiTheme="majorHAnsi"/>
          <w:color w:val="0070C0"/>
        </w:rPr>
        <w:t xml:space="preserve">  </w:t>
      </w:r>
      <w:r w:rsidR="00C311B4" w:rsidRPr="00C311B4">
        <w:rPr>
          <w:rFonts w:asciiTheme="majorHAnsi" w:hAnsiTheme="majorHAnsi"/>
          <w:color w:val="FF0000"/>
          <w:u w:val="single"/>
        </w:rPr>
        <w:t>After the rule was filed, other stakeholders submitted comments similar to ours. It is believed that DODD plans to proceed without further changes.</w:t>
      </w:r>
    </w:p>
    <w:p w:rsidR="00AC6D58" w:rsidRPr="00C311B4" w:rsidRDefault="00AC6D58" w:rsidP="00FC420E">
      <w:pPr>
        <w:rPr>
          <w:rFonts w:asciiTheme="majorHAnsi" w:hAnsiTheme="majorHAnsi"/>
        </w:rPr>
      </w:pPr>
    </w:p>
    <w:p w:rsidR="00FC420E" w:rsidRPr="00C311B4" w:rsidRDefault="00FC420E" w:rsidP="00FC420E">
      <w:pPr>
        <w:rPr>
          <w:rFonts w:asciiTheme="majorHAnsi" w:hAnsiTheme="majorHAnsi"/>
          <w:b/>
        </w:rPr>
      </w:pPr>
      <w:r w:rsidRPr="00C311B4">
        <w:rPr>
          <w:rFonts w:asciiTheme="majorHAnsi" w:hAnsiTheme="majorHAnsi"/>
          <w:b/>
        </w:rPr>
        <w:t xml:space="preserve">5.  </w:t>
      </w:r>
      <w:r w:rsidR="001A6157">
        <w:rPr>
          <w:rFonts w:asciiTheme="majorHAnsi" w:hAnsiTheme="majorHAnsi"/>
          <w:b/>
        </w:rPr>
        <w:t>Threshold for Exempt Status</w:t>
      </w:r>
    </w:p>
    <w:p w:rsidR="00511311" w:rsidRDefault="003B3EAC" w:rsidP="00FC420E">
      <w:pPr>
        <w:rPr>
          <w:rFonts w:asciiTheme="majorHAnsi" w:hAnsiTheme="majorHAnsi"/>
        </w:rPr>
      </w:pPr>
      <w:r w:rsidRPr="00B67003">
        <w:rPr>
          <w:rFonts w:asciiTheme="majorHAnsi" w:hAnsiTheme="majorHAnsi"/>
          <w:color w:val="FF0000"/>
          <w:u w:val="single"/>
        </w:rPr>
        <w:t>The US DOL is expected to release a proposed rule</w:t>
      </w:r>
      <w:r w:rsidR="00B67003">
        <w:rPr>
          <w:rFonts w:asciiTheme="majorHAnsi" w:hAnsiTheme="majorHAnsi"/>
          <w:color w:val="FF0000"/>
          <w:u w:val="single"/>
        </w:rPr>
        <w:t xml:space="preserve"> soon</w:t>
      </w:r>
      <w:r w:rsidR="00C64829" w:rsidRPr="00B67003">
        <w:rPr>
          <w:rFonts w:asciiTheme="majorHAnsi" w:hAnsiTheme="majorHAnsi"/>
          <w:color w:val="FF0000"/>
          <w:u w:val="single"/>
        </w:rPr>
        <w:t>.</w:t>
      </w:r>
      <w:r w:rsidR="00C64829">
        <w:rPr>
          <w:rFonts w:asciiTheme="majorHAnsi" w:hAnsiTheme="majorHAnsi"/>
        </w:rPr>
        <w:t xml:space="preserve">  ANCOR will respond according to the content of that rule.  </w:t>
      </w:r>
      <w:r w:rsidR="00AD3F0A" w:rsidRPr="004B28EC">
        <w:rPr>
          <w:rFonts w:asciiTheme="majorHAnsi" w:hAnsiTheme="majorHAnsi"/>
        </w:rPr>
        <w:t xml:space="preserve">As part of an ANCOR contingency, </w:t>
      </w:r>
      <w:r w:rsidR="00C237A0" w:rsidRPr="004B28EC">
        <w:rPr>
          <w:rFonts w:asciiTheme="majorHAnsi" w:hAnsiTheme="majorHAnsi"/>
        </w:rPr>
        <w:t xml:space="preserve">Than Johnson and </w:t>
      </w:r>
      <w:r w:rsidR="001A6157" w:rsidRPr="004B28EC">
        <w:rPr>
          <w:rFonts w:asciiTheme="majorHAnsi" w:hAnsiTheme="majorHAnsi"/>
        </w:rPr>
        <w:t>Mark Davis met</w:t>
      </w:r>
      <w:r w:rsidR="00C237A0" w:rsidRPr="004B28EC">
        <w:rPr>
          <w:rFonts w:asciiTheme="majorHAnsi" w:hAnsiTheme="majorHAnsi"/>
        </w:rPr>
        <w:t xml:space="preserve"> with the US DOL</w:t>
      </w:r>
      <w:r w:rsidR="001A6157" w:rsidRPr="004B28EC">
        <w:rPr>
          <w:rFonts w:asciiTheme="majorHAnsi" w:hAnsiTheme="majorHAnsi"/>
        </w:rPr>
        <w:t>.  The DOL is considering changing their regulations to increase the $455 weekly threshold for exempt status.  OPRA presented data from the salary survey a</w:t>
      </w:r>
      <w:r w:rsidR="00073204" w:rsidRPr="004B28EC">
        <w:rPr>
          <w:rFonts w:asciiTheme="majorHAnsi" w:hAnsiTheme="majorHAnsi"/>
        </w:rPr>
        <w:t xml:space="preserve">nd </w:t>
      </w:r>
      <w:proofErr w:type="gramStart"/>
      <w:r w:rsidR="00073204" w:rsidRPr="004B28EC">
        <w:rPr>
          <w:rFonts w:asciiTheme="majorHAnsi" w:hAnsiTheme="majorHAnsi"/>
        </w:rPr>
        <w:t>members, that</w:t>
      </w:r>
      <w:proofErr w:type="gramEnd"/>
      <w:r w:rsidR="00073204" w:rsidRPr="004B28EC">
        <w:rPr>
          <w:rFonts w:asciiTheme="majorHAnsi" w:hAnsiTheme="majorHAnsi"/>
        </w:rPr>
        <w:t xml:space="preserve"> indicated a</w:t>
      </w:r>
      <w:r w:rsidR="001A6157" w:rsidRPr="004B28EC">
        <w:rPr>
          <w:rFonts w:asciiTheme="majorHAnsi" w:hAnsiTheme="majorHAnsi"/>
        </w:rPr>
        <w:t xml:space="preserve"> cut in DSP wages if DOL pursued this course.</w:t>
      </w:r>
    </w:p>
    <w:p w:rsidR="00511311" w:rsidRDefault="00511311" w:rsidP="00FC420E">
      <w:pPr>
        <w:rPr>
          <w:rFonts w:asciiTheme="majorHAnsi" w:hAnsiTheme="majorHAnsi"/>
        </w:rPr>
      </w:pPr>
    </w:p>
    <w:p w:rsidR="00FC420E" w:rsidRPr="00C311B4" w:rsidRDefault="00B575F9" w:rsidP="00FC420E">
      <w:pPr>
        <w:rPr>
          <w:rFonts w:asciiTheme="majorHAnsi" w:hAnsiTheme="majorHAnsi"/>
          <w:b/>
        </w:rPr>
      </w:pPr>
      <w:r w:rsidRPr="00C311B4">
        <w:rPr>
          <w:rFonts w:asciiTheme="majorHAnsi" w:hAnsiTheme="majorHAnsi"/>
          <w:b/>
        </w:rPr>
        <w:t>6</w:t>
      </w:r>
      <w:r w:rsidR="00FC420E" w:rsidRPr="00C311B4">
        <w:rPr>
          <w:rFonts w:asciiTheme="majorHAnsi" w:hAnsiTheme="majorHAnsi"/>
          <w:b/>
        </w:rPr>
        <w:t>.  Video Conferencing</w:t>
      </w:r>
    </w:p>
    <w:p w:rsidR="008E5A26" w:rsidRPr="00D638B7" w:rsidRDefault="004014C2" w:rsidP="00FC420E">
      <w:pPr>
        <w:rPr>
          <w:rFonts w:asciiTheme="majorHAnsi" w:hAnsiTheme="majorHAnsi"/>
        </w:rPr>
      </w:pPr>
      <w:r w:rsidRPr="00C410C4">
        <w:rPr>
          <w:rFonts w:asciiTheme="majorHAnsi" w:hAnsiTheme="majorHAnsi"/>
          <w:color w:val="FF0000"/>
          <w:u w:val="single"/>
        </w:rPr>
        <w:t>We are researching other options that are less expensive. Our contract with Blue Jeans expires in August of 2015.</w:t>
      </w:r>
      <w:r w:rsidR="00353F52">
        <w:rPr>
          <w:rFonts w:asciiTheme="majorHAnsi" w:hAnsiTheme="majorHAnsi"/>
        </w:rPr>
        <w:t xml:space="preserve">  </w:t>
      </w:r>
    </w:p>
    <w:p w:rsidR="004014C2" w:rsidRPr="00C311B4" w:rsidRDefault="004014C2" w:rsidP="00FC420E">
      <w:pPr>
        <w:rPr>
          <w:rFonts w:asciiTheme="majorHAnsi" w:hAnsiTheme="majorHAnsi" w:cs="Calibri"/>
          <w:strike/>
        </w:rPr>
      </w:pPr>
    </w:p>
    <w:p w:rsidR="00821EA6" w:rsidRPr="00C311B4" w:rsidRDefault="007D1DDA" w:rsidP="00821EA6">
      <w:pPr>
        <w:rPr>
          <w:rFonts w:asciiTheme="majorHAnsi" w:hAnsiTheme="majorHAnsi"/>
          <w:b/>
          <w:i/>
        </w:rPr>
      </w:pPr>
      <w:r w:rsidRPr="00C311B4">
        <w:rPr>
          <w:rFonts w:asciiTheme="majorHAnsi" w:hAnsiTheme="majorHAnsi"/>
          <w:b/>
          <w:i/>
        </w:rPr>
        <w:t xml:space="preserve">B.  </w:t>
      </w:r>
      <w:r w:rsidR="004E14F2" w:rsidRPr="00C311B4">
        <w:rPr>
          <w:rFonts w:asciiTheme="majorHAnsi" w:hAnsiTheme="majorHAnsi"/>
          <w:b/>
          <w:i/>
        </w:rPr>
        <w:t>Reimbursement</w:t>
      </w:r>
      <w:r w:rsidR="00C97F54" w:rsidRPr="00C311B4">
        <w:rPr>
          <w:rFonts w:asciiTheme="majorHAnsi" w:hAnsiTheme="majorHAnsi"/>
          <w:b/>
          <w:i/>
        </w:rPr>
        <w:t xml:space="preserve"> Transformation for Workforce Sustainability</w:t>
      </w:r>
      <w:r w:rsidR="00514A74" w:rsidRPr="00C311B4">
        <w:rPr>
          <w:rFonts w:asciiTheme="majorHAnsi" w:hAnsiTheme="majorHAnsi"/>
          <w:b/>
          <w:i/>
        </w:rPr>
        <w:t xml:space="preserve"> Focus Area</w:t>
      </w:r>
    </w:p>
    <w:p w:rsidR="00811281" w:rsidRPr="00C311B4" w:rsidRDefault="00811281" w:rsidP="00992E43">
      <w:pPr>
        <w:rPr>
          <w:rFonts w:asciiTheme="majorHAnsi" w:hAnsiTheme="majorHAnsi"/>
        </w:rPr>
      </w:pPr>
    </w:p>
    <w:p w:rsidR="00992E43" w:rsidRPr="00C311B4" w:rsidRDefault="00B67003" w:rsidP="00992E43">
      <w:pPr>
        <w:widowControl w:val="0"/>
        <w:autoSpaceDE w:val="0"/>
        <w:autoSpaceDN w:val="0"/>
        <w:adjustRightInd w:val="0"/>
        <w:rPr>
          <w:rFonts w:asciiTheme="majorHAnsi" w:hAnsiTheme="majorHAnsi" w:cs="Calibri"/>
        </w:rPr>
      </w:pPr>
      <w:r>
        <w:rPr>
          <w:rFonts w:asciiTheme="majorHAnsi" w:hAnsiTheme="majorHAnsi" w:cs="Calibri"/>
          <w:b/>
          <w:bCs/>
        </w:rPr>
        <w:t>1</w:t>
      </w:r>
      <w:r w:rsidR="00992E43" w:rsidRPr="00C311B4">
        <w:rPr>
          <w:rFonts w:asciiTheme="majorHAnsi" w:hAnsiTheme="majorHAnsi" w:cs="Calibri"/>
          <w:b/>
          <w:bCs/>
        </w:rPr>
        <w:t xml:space="preserve">.  AOF Direct Care Workforce Coalition </w:t>
      </w:r>
    </w:p>
    <w:p w:rsidR="00992E43" w:rsidRPr="004B28EC" w:rsidRDefault="00C410C4" w:rsidP="00A51B63">
      <w:pPr>
        <w:rPr>
          <w:rFonts w:asciiTheme="majorHAnsi" w:hAnsiTheme="majorHAnsi" w:cs="Calibri"/>
        </w:rPr>
      </w:pPr>
      <w:r>
        <w:rPr>
          <w:rFonts w:asciiTheme="majorHAnsi" w:hAnsiTheme="majorHAnsi" w:cs="Calibri"/>
        </w:rPr>
        <w:t xml:space="preserve">AOF continues to support the direct care wage issue.  </w:t>
      </w:r>
      <w:r w:rsidR="000818D3">
        <w:rPr>
          <w:rFonts w:asciiTheme="majorHAnsi" w:hAnsiTheme="majorHAnsi" w:cs="Calibri"/>
          <w:color w:val="FF0000"/>
          <w:u w:val="single"/>
        </w:rPr>
        <w:t>We continue to work on the joint ask</w:t>
      </w:r>
      <w:r w:rsidR="000818D3" w:rsidRPr="000818D3">
        <w:rPr>
          <w:rFonts w:asciiTheme="majorHAnsi" w:hAnsiTheme="majorHAnsi" w:cs="Calibri"/>
          <w:color w:val="FF0000"/>
        </w:rPr>
        <w:t xml:space="preserve"> </w:t>
      </w:r>
      <w:r>
        <w:rPr>
          <w:rFonts w:asciiTheme="majorHAnsi" w:hAnsiTheme="majorHAnsi" w:cs="Calibri"/>
        </w:rPr>
        <w:t xml:space="preserve">for DD, aging, behavioral healthcare and other disabilities.  </w:t>
      </w:r>
      <w:r w:rsidR="00992E43" w:rsidRPr="004B28EC">
        <w:rPr>
          <w:rFonts w:asciiTheme="majorHAnsi" w:hAnsiTheme="majorHAnsi" w:cs="Calibri"/>
        </w:rPr>
        <w:t xml:space="preserve">Advocates for Ohio’s Future </w:t>
      </w:r>
      <w:r w:rsidR="00F3172A" w:rsidRPr="004B28EC">
        <w:rPr>
          <w:rFonts w:asciiTheme="majorHAnsi" w:hAnsiTheme="majorHAnsi" w:cs="Calibri"/>
        </w:rPr>
        <w:t>has</w:t>
      </w:r>
      <w:r w:rsidR="00992E43" w:rsidRPr="004B28EC">
        <w:rPr>
          <w:rFonts w:asciiTheme="majorHAnsi" w:hAnsiTheme="majorHAnsi" w:cs="Calibri"/>
        </w:rPr>
        <w:t xml:space="preserve"> a health and human services d</w:t>
      </w:r>
      <w:r w:rsidR="00D63951" w:rsidRPr="004B28EC">
        <w:rPr>
          <w:rFonts w:asciiTheme="majorHAnsi" w:hAnsiTheme="majorHAnsi" w:cs="Calibri"/>
        </w:rPr>
        <w:t xml:space="preserve">irect care workforce coalition including:  </w:t>
      </w:r>
      <w:r w:rsidR="0088008F" w:rsidRPr="004B28EC">
        <w:rPr>
          <w:rFonts w:asciiTheme="majorHAnsi" w:hAnsiTheme="majorHAnsi" w:cs="Calibri"/>
        </w:rPr>
        <w:t xml:space="preserve">Aging, </w:t>
      </w:r>
      <w:r w:rsidR="00992E43" w:rsidRPr="004B28EC">
        <w:rPr>
          <w:rFonts w:asciiTheme="majorHAnsi" w:hAnsiTheme="majorHAnsi" w:cs="Calibri"/>
        </w:rPr>
        <w:t>Developmental Disabilities</w:t>
      </w:r>
      <w:r w:rsidR="0088008F" w:rsidRPr="004B28EC">
        <w:rPr>
          <w:rFonts w:asciiTheme="majorHAnsi" w:hAnsiTheme="majorHAnsi" w:cs="Calibri"/>
        </w:rPr>
        <w:t>, Disabilities</w:t>
      </w:r>
      <w:r w:rsidR="008E4DB8" w:rsidRPr="004B28EC">
        <w:rPr>
          <w:rFonts w:asciiTheme="majorHAnsi" w:hAnsiTheme="majorHAnsi" w:cs="Calibri"/>
        </w:rPr>
        <w:t xml:space="preserve">, </w:t>
      </w:r>
      <w:r w:rsidR="0088008F" w:rsidRPr="004B28EC">
        <w:rPr>
          <w:rFonts w:asciiTheme="majorHAnsi" w:hAnsiTheme="majorHAnsi" w:cs="Calibri"/>
        </w:rPr>
        <w:t>Behavioral Healthcare</w:t>
      </w:r>
      <w:r w:rsidR="008E4DB8" w:rsidRPr="004B28EC">
        <w:rPr>
          <w:rFonts w:asciiTheme="majorHAnsi" w:hAnsiTheme="majorHAnsi" w:cs="Calibri"/>
        </w:rPr>
        <w:t xml:space="preserve"> and Other Disabilities</w:t>
      </w:r>
      <w:r w:rsidR="00D63951" w:rsidRPr="004B28EC">
        <w:rPr>
          <w:rFonts w:asciiTheme="majorHAnsi" w:hAnsiTheme="majorHAnsi" w:cs="Calibri"/>
        </w:rPr>
        <w:t>.  We have formed three workgroups.  The rate rationalization workgroup</w:t>
      </w:r>
      <w:r w:rsidR="00834C27" w:rsidRPr="004B28EC">
        <w:rPr>
          <w:rFonts w:asciiTheme="majorHAnsi" w:hAnsiTheme="majorHAnsi" w:cs="Calibri"/>
        </w:rPr>
        <w:t xml:space="preserve"> will gain an understanding of rates</w:t>
      </w:r>
      <w:r w:rsidR="00CC0351" w:rsidRPr="004B28EC">
        <w:rPr>
          <w:rFonts w:asciiTheme="majorHAnsi" w:hAnsiTheme="majorHAnsi" w:cs="Calibri"/>
        </w:rPr>
        <w:t xml:space="preserve"> in all systems and will recommend rate requests for each system.</w:t>
      </w:r>
      <w:r w:rsidR="00D63951" w:rsidRPr="004B28EC">
        <w:rPr>
          <w:rFonts w:asciiTheme="majorHAnsi" w:hAnsiTheme="majorHAnsi" w:cs="Calibri"/>
        </w:rPr>
        <w:t xml:space="preserve"> </w:t>
      </w:r>
    </w:p>
    <w:p w:rsidR="00CC0351" w:rsidRPr="004B28EC" w:rsidRDefault="00CC0351" w:rsidP="00A51B63">
      <w:pPr>
        <w:rPr>
          <w:rFonts w:asciiTheme="majorHAnsi" w:hAnsiTheme="majorHAnsi" w:cs="Calibri"/>
        </w:rPr>
      </w:pPr>
    </w:p>
    <w:p w:rsidR="00CC0351" w:rsidRPr="004B28EC" w:rsidRDefault="00CC0351" w:rsidP="00A51B63">
      <w:pPr>
        <w:rPr>
          <w:rFonts w:asciiTheme="majorHAnsi" w:hAnsiTheme="majorHAnsi" w:cs="Calibri"/>
        </w:rPr>
      </w:pPr>
      <w:r w:rsidRPr="004B28EC">
        <w:rPr>
          <w:rFonts w:asciiTheme="majorHAnsi" w:hAnsiTheme="majorHAnsi" w:cs="Calibri"/>
        </w:rPr>
        <w:t>The quality workgroup</w:t>
      </w:r>
      <w:r w:rsidR="00DC6B29" w:rsidRPr="004B28EC">
        <w:rPr>
          <w:rFonts w:asciiTheme="majorHAnsi" w:hAnsiTheme="majorHAnsi" w:cs="Calibri"/>
        </w:rPr>
        <w:t xml:space="preserve"> will recommend how quality outcomes should be measured in human services and also in each specific system.  </w:t>
      </w:r>
    </w:p>
    <w:p w:rsidR="00DC6B29" w:rsidRPr="004B28EC" w:rsidRDefault="00DC6B29" w:rsidP="00A51B63">
      <w:pPr>
        <w:rPr>
          <w:rFonts w:asciiTheme="majorHAnsi" w:hAnsiTheme="majorHAnsi" w:cs="Calibri"/>
        </w:rPr>
      </w:pPr>
    </w:p>
    <w:p w:rsidR="00DC6B29" w:rsidRPr="004B28EC" w:rsidRDefault="00DC6B29" w:rsidP="00A51B63">
      <w:pPr>
        <w:rPr>
          <w:rFonts w:asciiTheme="majorHAnsi" w:hAnsiTheme="majorHAnsi" w:cs="Calibri"/>
        </w:rPr>
      </w:pPr>
      <w:r w:rsidRPr="004B28EC">
        <w:rPr>
          <w:rFonts w:asciiTheme="majorHAnsi" w:hAnsiTheme="majorHAnsi" w:cs="Calibri"/>
        </w:rPr>
        <w:t>The direct care staff work experience workgroup will recommend strategies for improving employee satisfaction and decreasing direct care staff turnover.</w:t>
      </w:r>
    </w:p>
    <w:p w:rsidR="00DC6B29" w:rsidRPr="004B28EC" w:rsidRDefault="00DC6B29" w:rsidP="00A51B63">
      <w:pPr>
        <w:rPr>
          <w:rFonts w:asciiTheme="majorHAnsi" w:hAnsiTheme="majorHAnsi" w:cs="Calibri"/>
        </w:rPr>
      </w:pPr>
    </w:p>
    <w:p w:rsidR="00C10A16" w:rsidRPr="004B28EC" w:rsidRDefault="00DC6B29" w:rsidP="00E40492">
      <w:pPr>
        <w:rPr>
          <w:rFonts w:asciiTheme="majorHAnsi" w:hAnsiTheme="majorHAnsi" w:cs="Calibri"/>
        </w:rPr>
      </w:pPr>
      <w:r w:rsidRPr="004B28EC">
        <w:rPr>
          <w:rFonts w:asciiTheme="majorHAnsi" w:hAnsiTheme="majorHAnsi" w:cs="Calibri"/>
        </w:rPr>
        <w:t>The work of the three workgroups will be compiled in a multi-system budget ask to: improve direct care wages, benefits, training and supervision; reform our systems to move to outcome focused; improve the direct care worker’s experience of work and decrease direct care turnover.</w:t>
      </w:r>
    </w:p>
    <w:p w:rsidR="00813777" w:rsidRPr="00C311B4" w:rsidRDefault="00813777" w:rsidP="00E40492">
      <w:pPr>
        <w:rPr>
          <w:rFonts w:asciiTheme="majorHAnsi" w:hAnsiTheme="majorHAnsi"/>
        </w:rPr>
      </w:pPr>
    </w:p>
    <w:p w:rsidR="0013416D" w:rsidRPr="00C311B4" w:rsidRDefault="0013416D" w:rsidP="00E40492">
      <w:pPr>
        <w:rPr>
          <w:rFonts w:asciiTheme="majorHAnsi" w:hAnsiTheme="majorHAnsi"/>
          <w:b/>
          <w:i/>
        </w:rPr>
      </w:pPr>
      <w:r w:rsidRPr="00C311B4">
        <w:rPr>
          <w:rFonts w:asciiTheme="majorHAnsi" w:hAnsiTheme="majorHAnsi"/>
          <w:b/>
          <w:i/>
        </w:rPr>
        <w:t xml:space="preserve">C.  </w:t>
      </w:r>
      <w:r w:rsidR="004E14F2" w:rsidRPr="00C311B4">
        <w:rPr>
          <w:rFonts w:asciiTheme="majorHAnsi" w:hAnsiTheme="majorHAnsi"/>
          <w:b/>
          <w:i/>
        </w:rPr>
        <w:t xml:space="preserve">Future </w:t>
      </w:r>
      <w:r w:rsidR="00733557" w:rsidRPr="00C311B4">
        <w:rPr>
          <w:rFonts w:asciiTheme="majorHAnsi" w:hAnsiTheme="majorHAnsi"/>
          <w:b/>
          <w:i/>
        </w:rPr>
        <w:t>Opportunities a</w:t>
      </w:r>
      <w:r w:rsidR="00C97F54" w:rsidRPr="00C311B4">
        <w:rPr>
          <w:rFonts w:asciiTheme="majorHAnsi" w:hAnsiTheme="majorHAnsi"/>
          <w:b/>
          <w:i/>
        </w:rPr>
        <w:t>nd Unmet Needs</w:t>
      </w:r>
      <w:r w:rsidR="00514A74" w:rsidRPr="00C311B4">
        <w:rPr>
          <w:rFonts w:asciiTheme="majorHAnsi" w:hAnsiTheme="majorHAnsi"/>
          <w:b/>
          <w:i/>
        </w:rPr>
        <w:t xml:space="preserve"> Focus Area</w:t>
      </w:r>
    </w:p>
    <w:p w:rsidR="00C121E8" w:rsidRPr="00C311B4" w:rsidRDefault="00C121E8" w:rsidP="00C121E8">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C121E8" w:rsidRPr="00C311B4" w:rsidRDefault="00B67003" w:rsidP="00C121E8">
      <w:pPr>
        <w:widowControl w:val="0"/>
        <w:autoSpaceDE w:val="0"/>
        <w:autoSpaceDN w:val="0"/>
        <w:adjustRightInd w:val="0"/>
        <w:rPr>
          <w:rFonts w:asciiTheme="majorHAnsi" w:hAnsiTheme="majorHAnsi" w:cs="Calibri"/>
          <w:b/>
        </w:rPr>
      </w:pPr>
      <w:r>
        <w:rPr>
          <w:rFonts w:asciiTheme="majorHAnsi" w:hAnsiTheme="majorHAnsi" w:cs="Verdana"/>
          <w:b/>
        </w:rPr>
        <w:t>1</w:t>
      </w:r>
      <w:r w:rsidR="009F3A4D" w:rsidRPr="00C311B4">
        <w:rPr>
          <w:rFonts w:asciiTheme="majorHAnsi" w:hAnsiTheme="majorHAnsi" w:cs="Verdana"/>
          <w:b/>
        </w:rPr>
        <w:t xml:space="preserve">.  </w:t>
      </w:r>
      <w:r w:rsidR="00C121E8" w:rsidRPr="00C311B4">
        <w:rPr>
          <w:rFonts w:asciiTheme="majorHAnsi" w:hAnsiTheme="majorHAnsi" w:cs="Verdana"/>
          <w:b/>
        </w:rPr>
        <w:t>Trauma Informed Care</w:t>
      </w:r>
    </w:p>
    <w:p w:rsidR="00C46CAB" w:rsidRPr="00B67003" w:rsidRDefault="00D6652B" w:rsidP="00C46CAB">
      <w:pPr>
        <w:widowControl w:val="0"/>
        <w:autoSpaceDE w:val="0"/>
        <w:autoSpaceDN w:val="0"/>
        <w:adjustRightInd w:val="0"/>
        <w:rPr>
          <w:rFonts w:asciiTheme="majorHAnsi" w:hAnsiTheme="majorHAnsi" w:cs="Calibri"/>
        </w:rPr>
      </w:pPr>
      <w:r w:rsidRPr="00B67003">
        <w:rPr>
          <w:rFonts w:asciiTheme="majorHAnsi" w:hAnsiTheme="majorHAnsi" w:cs="Calibri"/>
          <w:color w:val="FF0000"/>
          <w:u w:val="single"/>
        </w:rPr>
        <w:t xml:space="preserve">OPRA is partnering with Kim </w:t>
      </w:r>
      <w:proofErr w:type="spellStart"/>
      <w:r w:rsidRPr="00B67003">
        <w:rPr>
          <w:rFonts w:asciiTheme="majorHAnsi" w:hAnsiTheme="majorHAnsi" w:cs="Calibri"/>
          <w:color w:val="FF0000"/>
          <w:u w:val="single"/>
        </w:rPr>
        <w:t>Kehl</w:t>
      </w:r>
      <w:proofErr w:type="spellEnd"/>
      <w:r w:rsidRPr="00B67003">
        <w:rPr>
          <w:rFonts w:asciiTheme="majorHAnsi" w:hAnsiTheme="majorHAnsi" w:cs="Calibri"/>
          <w:color w:val="FF0000"/>
          <w:u w:val="single"/>
        </w:rPr>
        <w:t xml:space="preserve"> of OMHAS in an effort to get regional training and meeting notices out to our members. Kim attended the joint Policy and Program Directors meeting and presented information on MHAS’ TIC efforts.</w:t>
      </w:r>
      <w:r>
        <w:rPr>
          <w:rFonts w:asciiTheme="majorHAnsi" w:hAnsiTheme="majorHAnsi" w:cs="Calibri"/>
          <w:color w:val="0070C0"/>
        </w:rPr>
        <w:t xml:space="preserve">  </w:t>
      </w:r>
      <w:r w:rsidR="00C46CAB" w:rsidRPr="00B67003">
        <w:rPr>
          <w:rFonts w:asciiTheme="majorHAnsi" w:hAnsiTheme="majorHAnsi" w:cs="Calibri"/>
        </w:rPr>
        <w:t xml:space="preserve">DODD is sponsoring several training sessions over the next few months. The first one is full. </w:t>
      </w:r>
      <w:proofErr w:type="gramStart"/>
      <w:r w:rsidR="00C46CAB" w:rsidRPr="00B67003">
        <w:rPr>
          <w:rFonts w:asciiTheme="majorHAnsi" w:hAnsiTheme="majorHAnsi" w:cs="Calibri"/>
        </w:rPr>
        <w:t>Nursing and Social work credits available.</w:t>
      </w:r>
      <w:proofErr w:type="gramEnd"/>
    </w:p>
    <w:p w:rsidR="002F16E2" w:rsidRDefault="00C121E8" w:rsidP="000F1671">
      <w:pPr>
        <w:widowControl w:val="0"/>
        <w:autoSpaceDE w:val="0"/>
        <w:autoSpaceDN w:val="0"/>
        <w:adjustRightInd w:val="0"/>
        <w:rPr>
          <w:rFonts w:asciiTheme="majorHAnsi" w:hAnsiTheme="majorHAnsi" w:cs="Calibri"/>
        </w:rPr>
      </w:pPr>
      <w:r w:rsidRPr="00C311B4">
        <w:rPr>
          <w:rFonts w:asciiTheme="majorHAnsi" w:hAnsiTheme="majorHAnsi" w:cs="Verdana"/>
        </w:rPr>
        <w:t> </w:t>
      </w:r>
    </w:p>
    <w:p w:rsidR="00804B8A" w:rsidRPr="00804B8A" w:rsidRDefault="00804B8A" w:rsidP="000F1671">
      <w:pPr>
        <w:widowControl w:val="0"/>
        <w:autoSpaceDE w:val="0"/>
        <w:autoSpaceDN w:val="0"/>
        <w:adjustRightInd w:val="0"/>
        <w:rPr>
          <w:rFonts w:asciiTheme="majorHAnsi" w:hAnsiTheme="majorHAnsi" w:cs="Calibri"/>
        </w:rPr>
      </w:pPr>
    </w:p>
    <w:p w:rsidR="00ED2225" w:rsidRPr="006E52F4" w:rsidRDefault="00F161D3" w:rsidP="006E52F4">
      <w:pPr>
        <w:jc w:val="both"/>
        <w:rPr>
          <w:rFonts w:ascii="Calibri" w:hAnsi="Calibri" w:cs="Times New Roman"/>
          <w:b/>
          <w:i/>
          <w:u w:val="single"/>
        </w:rPr>
      </w:pPr>
      <w:r>
        <w:rPr>
          <w:rFonts w:ascii="Calibri" w:hAnsi="Calibri" w:cs="Times New Roman"/>
          <w:b/>
          <w:i/>
          <w:u w:val="single"/>
        </w:rPr>
        <w:t>D</w:t>
      </w:r>
      <w:r w:rsidR="00AE74C8" w:rsidRPr="006E52F4">
        <w:rPr>
          <w:rFonts w:ascii="Calibri" w:hAnsi="Calibri" w:cs="Times New Roman"/>
          <w:b/>
          <w:i/>
          <w:u w:val="single"/>
        </w:rPr>
        <w:t xml:space="preserve">. </w:t>
      </w:r>
      <w:r w:rsidR="006E52F4" w:rsidRPr="006E52F4">
        <w:rPr>
          <w:rFonts w:ascii="Calibri" w:hAnsi="Calibri" w:cs="Times New Roman"/>
          <w:b/>
          <w:i/>
          <w:u w:val="single"/>
        </w:rPr>
        <w:t>Technical Assistance Projects</w:t>
      </w:r>
    </w:p>
    <w:p w:rsidR="006E52F4" w:rsidRPr="006057DB" w:rsidRDefault="006E52F4" w:rsidP="006E52F4">
      <w:pPr>
        <w:jc w:val="both"/>
        <w:rPr>
          <w:rFonts w:ascii="Calibri" w:hAnsi="Calibri" w:cs="Times New Roman"/>
          <w:color w:val="FF0000"/>
          <w:u w:val="single"/>
        </w:rPr>
      </w:pPr>
      <w:r w:rsidRPr="006057DB">
        <w:rPr>
          <w:rFonts w:ascii="Calibri" w:hAnsi="Calibri" w:cs="Times New Roman"/>
          <w:color w:val="FF0000"/>
          <w:u w:val="single"/>
        </w:rPr>
        <w:t>At their request, OPRA has proposals for technical assistance</w:t>
      </w:r>
      <w:r w:rsidR="0036224C" w:rsidRPr="006057DB">
        <w:rPr>
          <w:rFonts w:ascii="Calibri" w:hAnsi="Calibri" w:cs="Times New Roman"/>
          <w:color w:val="FF0000"/>
          <w:u w:val="single"/>
        </w:rPr>
        <w:t xml:space="preserve"> in</w:t>
      </w:r>
      <w:r w:rsidRPr="006057DB">
        <w:rPr>
          <w:rFonts w:ascii="Calibri" w:hAnsi="Calibri" w:cs="Times New Roman"/>
          <w:color w:val="FF0000"/>
          <w:u w:val="single"/>
        </w:rPr>
        <w:t xml:space="preserve"> to the Kentucky Association of Private Providers and the Iowa Association of Community Providers.</w:t>
      </w:r>
      <w:r w:rsidR="0036224C" w:rsidRPr="006057DB">
        <w:rPr>
          <w:rFonts w:ascii="Calibri" w:hAnsi="Calibri" w:cs="Times New Roman"/>
          <w:color w:val="FF0000"/>
          <w:u w:val="single"/>
        </w:rPr>
        <w:t xml:space="preserve">  These two projects, if accepted, will result in OPRA being at our maximum c</w:t>
      </w:r>
      <w:r w:rsidR="00057782" w:rsidRPr="006057DB">
        <w:rPr>
          <w:rFonts w:ascii="Calibri" w:hAnsi="Calibri" w:cs="Times New Roman"/>
          <w:color w:val="FF0000"/>
          <w:u w:val="single"/>
        </w:rPr>
        <w:t>apacity in providing external technical assistance</w:t>
      </w:r>
      <w:r w:rsidR="0036224C" w:rsidRPr="006057DB">
        <w:rPr>
          <w:rFonts w:ascii="Calibri" w:hAnsi="Calibri" w:cs="Times New Roman"/>
          <w:color w:val="FF0000"/>
          <w:u w:val="single"/>
        </w:rPr>
        <w:t>.</w:t>
      </w:r>
    </w:p>
    <w:p w:rsidR="00C92D46" w:rsidRDefault="00C92D46" w:rsidP="00C92D46">
      <w:pPr>
        <w:jc w:val="both"/>
        <w:rPr>
          <w:rFonts w:ascii="Calibri" w:hAnsi="Calibri" w:cs="Times New Roman"/>
          <w:bCs/>
        </w:rPr>
      </w:pPr>
    </w:p>
    <w:p w:rsidR="00ED2225" w:rsidRPr="00C311B4" w:rsidRDefault="00ED2225" w:rsidP="000F1671">
      <w:pPr>
        <w:widowControl w:val="0"/>
        <w:autoSpaceDE w:val="0"/>
        <w:autoSpaceDN w:val="0"/>
        <w:adjustRightInd w:val="0"/>
        <w:rPr>
          <w:rFonts w:asciiTheme="majorHAnsi" w:hAnsiTheme="majorHAnsi" w:cs="Calibri"/>
          <w:b/>
        </w:rPr>
      </w:pPr>
    </w:p>
    <w:sectPr w:rsidR="00ED2225" w:rsidRPr="00C311B4" w:rsidSect="00357301">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88" w:rsidRDefault="00621F88" w:rsidP="00357301">
      <w:r>
        <w:separator/>
      </w:r>
    </w:p>
  </w:endnote>
  <w:endnote w:type="continuationSeparator" w:id="0">
    <w:p w:rsidR="00621F88" w:rsidRDefault="00621F88"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F4" w:rsidRDefault="006E52F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52F4" w:rsidRDefault="006E52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F4" w:rsidRDefault="006E52F4"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3AF">
      <w:rPr>
        <w:rStyle w:val="PageNumber"/>
        <w:noProof/>
      </w:rPr>
      <w:t>3</w:t>
    </w:r>
    <w:r>
      <w:rPr>
        <w:rStyle w:val="PageNumber"/>
      </w:rPr>
      <w:fldChar w:fldCharType="end"/>
    </w:r>
  </w:p>
  <w:p w:rsidR="006E52F4" w:rsidRDefault="006E52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88" w:rsidRDefault="00621F88" w:rsidP="00357301">
      <w:r>
        <w:separator/>
      </w:r>
    </w:p>
  </w:footnote>
  <w:footnote w:type="continuationSeparator" w:id="0">
    <w:p w:rsidR="00621F88" w:rsidRDefault="00621F88"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F4" w:rsidRDefault="006E52F4">
    <w:pPr>
      <w:pStyle w:val="Header"/>
    </w:pPr>
    <w:r>
      <w:t xml:space="preserve">OPRA Board Consent Agenda, </w:t>
    </w:r>
    <w:r w:rsidR="009A7E97">
      <w:t>January 28,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2">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8">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9">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4">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7"/>
  </w:num>
  <w:num w:numId="6">
    <w:abstractNumId w:val="8"/>
  </w:num>
  <w:num w:numId="7">
    <w:abstractNumId w:val="15"/>
  </w:num>
  <w:num w:numId="8">
    <w:abstractNumId w:val="3"/>
  </w:num>
  <w:num w:numId="9">
    <w:abstractNumId w:val="10"/>
  </w:num>
  <w:num w:numId="10">
    <w:abstractNumId w:val="16"/>
  </w:num>
  <w:num w:numId="11">
    <w:abstractNumId w:val="9"/>
  </w:num>
  <w:num w:numId="12">
    <w:abstractNumId w:val="0"/>
  </w:num>
  <w:num w:numId="13">
    <w:abstractNumId w:val="6"/>
  </w:num>
  <w:num w:numId="14">
    <w:abstractNumId w:val="5"/>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BFA"/>
    <w:rsid w:val="00017CC1"/>
    <w:rsid w:val="0002550F"/>
    <w:rsid w:val="00036703"/>
    <w:rsid w:val="000422BE"/>
    <w:rsid w:val="000430FE"/>
    <w:rsid w:val="00052096"/>
    <w:rsid w:val="000539EF"/>
    <w:rsid w:val="00057782"/>
    <w:rsid w:val="0007177B"/>
    <w:rsid w:val="00073204"/>
    <w:rsid w:val="000818D3"/>
    <w:rsid w:val="00081F72"/>
    <w:rsid w:val="0008446A"/>
    <w:rsid w:val="00085F75"/>
    <w:rsid w:val="00090B49"/>
    <w:rsid w:val="00095E27"/>
    <w:rsid w:val="000A57EC"/>
    <w:rsid w:val="000B1320"/>
    <w:rsid w:val="000B3529"/>
    <w:rsid w:val="000C053E"/>
    <w:rsid w:val="000C068B"/>
    <w:rsid w:val="000C61AA"/>
    <w:rsid w:val="000C6C7B"/>
    <w:rsid w:val="000C7103"/>
    <w:rsid w:val="000D7371"/>
    <w:rsid w:val="000E4D77"/>
    <w:rsid w:val="000F1671"/>
    <w:rsid w:val="001017AF"/>
    <w:rsid w:val="001025F6"/>
    <w:rsid w:val="00102A96"/>
    <w:rsid w:val="00115A3E"/>
    <w:rsid w:val="0012335A"/>
    <w:rsid w:val="0013416D"/>
    <w:rsid w:val="001346E9"/>
    <w:rsid w:val="0013769C"/>
    <w:rsid w:val="0014009B"/>
    <w:rsid w:val="00141A3C"/>
    <w:rsid w:val="001523A3"/>
    <w:rsid w:val="00157898"/>
    <w:rsid w:val="00166ED3"/>
    <w:rsid w:val="00170D7E"/>
    <w:rsid w:val="00177367"/>
    <w:rsid w:val="00181ABD"/>
    <w:rsid w:val="00187426"/>
    <w:rsid w:val="00187C0E"/>
    <w:rsid w:val="00190F3C"/>
    <w:rsid w:val="00192366"/>
    <w:rsid w:val="0019630B"/>
    <w:rsid w:val="001968AF"/>
    <w:rsid w:val="00196F7F"/>
    <w:rsid w:val="001A6157"/>
    <w:rsid w:val="001D4589"/>
    <w:rsid w:val="001D608B"/>
    <w:rsid w:val="001E1EF8"/>
    <w:rsid w:val="001E600A"/>
    <w:rsid w:val="001F2862"/>
    <w:rsid w:val="001F3F59"/>
    <w:rsid w:val="00201670"/>
    <w:rsid w:val="0020474B"/>
    <w:rsid w:val="00206BDA"/>
    <w:rsid w:val="00214CA8"/>
    <w:rsid w:val="00215885"/>
    <w:rsid w:val="00220170"/>
    <w:rsid w:val="00220556"/>
    <w:rsid w:val="00221765"/>
    <w:rsid w:val="00225BCE"/>
    <w:rsid w:val="00230263"/>
    <w:rsid w:val="00233584"/>
    <w:rsid w:val="00235EB3"/>
    <w:rsid w:val="002362D4"/>
    <w:rsid w:val="00250B50"/>
    <w:rsid w:val="00253547"/>
    <w:rsid w:val="002542F8"/>
    <w:rsid w:val="002604FD"/>
    <w:rsid w:val="0027185A"/>
    <w:rsid w:val="002766D7"/>
    <w:rsid w:val="00280FBE"/>
    <w:rsid w:val="00281C91"/>
    <w:rsid w:val="0028305A"/>
    <w:rsid w:val="00293575"/>
    <w:rsid w:val="0029688C"/>
    <w:rsid w:val="002A204C"/>
    <w:rsid w:val="002A2783"/>
    <w:rsid w:val="002A6C8A"/>
    <w:rsid w:val="002B7AD7"/>
    <w:rsid w:val="002B7AF4"/>
    <w:rsid w:val="002C16E6"/>
    <w:rsid w:val="002C2C0B"/>
    <w:rsid w:val="002C45A4"/>
    <w:rsid w:val="002D1EEC"/>
    <w:rsid w:val="002E1865"/>
    <w:rsid w:val="002E20CA"/>
    <w:rsid w:val="002E7BCA"/>
    <w:rsid w:val="002F0033"/>
    <w:rsid w:val="002F117D"/>
    <w:rsid w:val="002F16E2"/>
    <w:rsid w:val="002F2933"/>
    <w:rsid w:val="00303C35"/>
    <w:rsid w:val="0031690A"/>
    <w:rsid w:val="00320AC3"/>
    <w:rsid w:val="003223B8"/>
    <w:rsid w:val="00325F3A"/>
    <w:rsid w:val="00326546"/>
    <w:rsid w:val="00331428"/>
    <w:rsid w:val="003354DF"/>
    <w:rsid w:val="00337928"/>
    <w:rsid w:val="00344205"/>
    <w:rsid w:val="00344938"/>
    <w:rsid w:val="003465F6"/>
    <w:rsid w:val="00353F52"/>
    <w:rsid w:val="00357301"/>
    <w:rsid w:val="0036224C"/>
    <w:rsid w:val="00362641"/>
    <w:rsid w:val="003658C0"/>
    <w:rsid w:val="003837AE"/>
    <w:rsid w:val="003847B9"/>
    <w:rsid w:val="00394BE5"/>
    <w:rsid w:val="003B3EAC"/>
    <w:rsid w:val="003C5052"/>
    <w:rsid w:val="003E1D4F"/>
    <w:rsid w:val="003E3F91"/>
    <w:rsid w:val="003E442F"/>
    <w:rsid w:val="003E5CA2"/>
    <w:rsid w:val="003F65CB"/>
    <w:rsid w:val="004014C2"/>
    <w:rsid w:val="004145EB"/>
    <w:rsid w:val="00427315"/>
    <w:rsid w:val="00431472"/>
    <w:rsid w:val="004328DA"/>
    <w:rsid w:val="004379FA"/>
    <w:rsid w:val="00442D84"/>
    <w:rsid w:val="00443D72"/>
    <w:rsid w:val="004457C3"/>
    <w:rsid w:val="004465DE"/>
    <w:rsid w:val="00447CB3"/>
    <w:rsid w:val="00451229"/>
    <w:rsid w:val="00452B2F"/>
    <w:rsid w:val="00462AF7"/>
    <w:rsid w:val="00464A39"/>
    <w:rsid w:val="00470EEC"/>
    <w:rsid w:val="00471C10"/>
    <w:rsid w:val="00476F8C"/>
    <w:rsid w:val="00477366"/>
    <w:rsid w:val="004901FA"/>
    <w:rsid w:val="00495C5C"/>
    <w:rsid w:val="004A091B"/>
    <w:rsid w:val="004A1B7D"/>
    <w:rsid w:val="004B28EC"/>
    <w:rsid w:val="004C4C0E"/>
    <w:rsid w:val="004C4CD7"/>
    <w:rsid w:val="004C7F05"/>
    <w:rsid w:val="004D3EC2"/>
    <w:rsid w:val="004D52F0"/>
    <w:rsid w:val="004D5DC2"/>
    <w:rsid w:val="004D61B4"/>
    <w:rsid w:val="004D6FEF"/>
    <w:rsid w:val="004E14F2"/>
    <w:rsid w:val="004E27DE"/>
    <w:rsid w:val="004E74D6"/>
    <w:rsid w:val="004F0CBB"/>
    <w:rsid w:val="00504857"/>
    <w:rsid w:val="00505AB7"/>
    <w:rsid w:val="00507754"/>
    <w:rsid w:val="005102A8"/>
    <w:rsid w:val="00511311"/>
    <w:rsid w:val="00514A74"/>
    <w:rsid w:val="005238D8"/>
    <w:rsid w:val="005245C4"/>
    <w:rsid w:val="00525757"/>
    <w:rsid w:val="00533454"/>
    <w:rsid w:val="0054135B"/>
    <w:rsid w:val="00571F52"/>
    <w:rsid w:val="00573017"/>
    <w:rsid w:val="00573305"/>
    <w:rsid w:val="005749C0"/>
    <w:rsid w:val="0058098D"/>
    <w:rsid w:val="00581DD8"/>
    <w:rsid w:val="00584252"/>
    <w:rsid w:val="00585D36"/>
    <w:rsid w:val="00593750"/>
    <w:rsid w:val="005A1EBB"/>
    <w:rsid w:val="005A2DCA"/>
    <w:rsid w:val="005A5A68"/>
    <w:rsid w:val="005B1410"/>
    <w:rsid w:val="005C343E"/>
    <w:rsid w:val="005D4518"/>
    <w:rsid w:val="005E05EB"/>
    <w:rsid w:val="005E1134"/>
    <w:rsid w:val="005E3066"/>
    <w:rsid w:val="005E7EC1"/>
    <w:rsid w:val="005F0D9F"/>
    <w:rsid w:val="005F15B4"/>
    <w:rsid w:val="006010E1"/>
    <w:rsid w:val="006046D1"/>
    <w:rsid w:val="006057DB"/>
    <w:rsid w:val="00605CA2"/>
    <w:rsid w:val="00621F88"/>
    <w:rsid w:val="006315F3"/>
    <w:rsid w:val="00632214"/>
    <w:rsid w:val="0063325D"/>
    <w:rsid w:val="006335CA"/>
    <w:rsid w:val="0063603E"/>
    <w:rsid w:val="006523A1"/>
    <w:rsid w:val="00655166"/>
    <w:rsid w:val="00673C64"/>
    <w:rsid w:val="00687306"/>
    <w:rsid w:val="00694218"/>
    <w:rsid w:val="00695198"/>
    <w:rsid w:val="00697321"/>
    <w:rsid w:val="006A1EDE"/>
    <w:rsid w:val="006A468A"/>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726"/>
    <w:rsid w:val="006F4248"/>
    <w:rsid w:val="006F55DD"/>
    <w:rsid w:val="006F5B5A"/>
    <w:rsid w:val="007009FE"/>
    <w:rsid w:val="00704412"/>
    <w:rsid w:val="00705198"/>
    <w:rsid w:val="007076D4"/>
    <w:rsid w:val="00713990"/>
    <w:rsid w:val="00715006"/>
    <w:rsid w:val="00717931"/>
    <w:rsid w:val="00722D9A"/>
    <w:rsid w:val="007273B7"/>
    <w:rsid w:val="00731417"/>
    <w:rsid w:val="00731B75"/>
    <w:rsid w:val="00733557"/>
    <w:rsid w:val="007357BA"/>
    <w:rsid w:val="00752074"/>
    <w:rsid w:val="00755DAD"/>
    <w:rsid w:val="00764C12"/>
    <w:rsid w:val="00774188"/>
    <w:rsid w:val="00790FD3"/>
    <w:rsid w:val="0079397D"/>
    <w:rsid w:val="00797CE5"/>
    <w:rsid w:val="007A2C2D"/>
    <w:rsid w:val="007A2FDE"/>
    <w:rsid w:val="007A6AD6"/>
    <w:rsid w:val="007A7DB3"/>
    <w:rsid w:val="007D1DDA"/>
    <w:rsid w:val="007E213D"/>
    <w:rsid w:val="007E7A17"/>
    <w:rsid w:val="007F1AAC"/>
    <w:rsid w:val="007F280C"/>
    <w:rsid w:val="007F6475"/>
    <w:rsid w:val="00804B8A"/>
    <w:rsid w:val="00811281"/>
    <w:rsid w:val="00811EE6"/>
    <w:rsid w:val="00813777"/>
    <w:rsid w:val="00821B2A"/>
    <w:rsid w:val="00821EA6"/>
    <w:rsid w:val="0082225D"/>
    <w:rsid w:val="00822C0C"/>
    <w:rsid w:val="00822EAB"/>
    <w:rsid w:val="00823DBC"/>
    <w:rsid w:val="008326A2"/>
    <w:rsid w:val="00834C27"/>
    <w:rsid w:val="0084109E"/>
    <w:rsid w:val="008512C4"/>
    <w:rsid w:val="00853AD5"/>
    <w:rsid w:val="00856B34"/>
    <w:rsid w:val="00857D94"/>
    <w:rsid w:val="00860630"/>
    <w:rsid w:val="00861DD5"/>
    <w:rsid w:val="00861F40"/>
    <w:rsid w:val="008624B8"/>
    <w:rsid w:val="0087094B"/>
    <w:rsid w:val="00874221"/>
    <w:rsid w:val="008749C5"/>
    <w:rsid w:val="0087639E"/>
    <w:rsid w:val="0088008F"/>
    <w:rsid w:val="00897BBB"/>
    <w:rsid w:val="008A342F"/>
    <w:rsid w:val="008B08D4"/>
    <w:rsid w:val="008B3FE5"/>
    <w:rsid w:val="008D2AA7"/>
    <w:rsid w:val="008D4451"/>
    <w:rsid w:val="008D4E44"/>
    <w:rsid w:val="008E4DB8"/>
    <w:rsid w:val="008E5A26"/>
    <w:rsid w:val="008E73AF"/>
    <w:rsid w:val="008F6695"/>
    <w:rsid w:val="00901280"/>
    <w:rsid w:val="00910ACE"/>
    <w:rsid w:val="00946690"/>
    <w:rsid w:val="00952C5E"/>
    <w:rsid w:val="0096767C"/>
    <w:rsid w:val="00974CDA"/>
    <w:rsid w:val="009756CF"/>
    <w:rsid w:val="0097694B"/>
    <w:rsid w:val="009913C6"/>
    <w:rsid w:val="00992DD0"/>
    <w:rsid w:val="00992E43"/>
    <w:rsid w:val="00992FB9"/>
    <w:rsid w:val="00993A11"/>
    <w:rsid w:val="00995052"/>
    <w:rsid w:val="009968A4"/>
    <w:rsid w:val="009A113C"/>
    <w:rsid w:val="009A1C04"/>
    <w:rsid w:val="009A4118"/>
    <w:rsid w:val="009A5594"/>
    <w:rsid w:val="009A7E97"/>
    <w:rsid w:val="009B355D"/>
    <w:rsid w:val="009B35A1"/>
    <w:rsid w:val="009C034B"/>
    <w:rsid w:val="009C3435"/>
    <w:rsid w:val="009C60C9"/>
    <w:rsid w:val="009D4CD0"/>
    <w:rsid w:val="009E658F"/>
    <w:rsid w:val="009F27F0"/>
    <w:rsid w:val="009F3A4D"/>
    <w:rsid w:val="009F52B5"/>
    <w:rsid w:val="009F7E4F"/>
    <w:rsid w:val="00A0778E"/>
    <w:rsid w:val="00A109D3"/>
    <w:rsid w:val="00A10FB3"/>
    <w:rsid w:val="00A112A7"/>
    <w:rsid w:val="00A11D55"/>
    <w:rsid w:val="00A11EEF"/>
    <w:rsid w:val="00A20540"/>
    <w:rsid w:val="00A23953"/>
    <w:rsid w:val="00A26510"/>
    <w:rsid w:val="00A26ACD"/>
    <w:rsid w:val="00A31F53"/>
    <w:rsid w:val="00A40BC0"/>
    <w:rsid w:val="00A45065"/>
    <w:rsid w:val="00A47701"/>
    <w:rsid w:val="00A51B63"/>
    <w:rsid w:val="00A5595B"/>
    <w:rsid w:val="00A55E8F"/>
    <w:rsid w:val="00A603B0"/>
    <w:rsid w:val="00A63D46"/>
    <w:rsid w:val="00A7209C"/>
    <w:rsid w:val="00A73477"/>
    <w:rsid w:val="00A7702F"/>
    <w:rsid w:val="00A770BE"/>
    <w:rsid w:val="00A825A4"/>
    <w:rsid w:val="00A82745"/>
    <w:rsid w:val="00A82F7D"/>
    <w:rsid w:val="00A93EDD"/>
    <w:rsid w:val="00A960DF"/>
    <w:rsid w:val="00A97E37"/>
    <w:rsid w:val="00AA1D7B"/>
    <w:rsid w:val="00AA5EC1"/>
    <w:rsid w:val="00AB7546"/>
    <w:rsid w:val="00AC6D58"/>
    <w:rsid w:val="00AD2A5B"/>
    <w:rsid w:val="00AD3F0A"/>
    <w:rsid w:val="00AD7CC1"/>
    <w:rsid w:val="00AE17DA"/>
    <w:rsid w:val="00AE2CAC"/>
    <w:rsid w:val="00AE67AF"/>
    <w:rsid w:val="00AE74C8"/>
    <w:rsid w:val="00AF4C71"/>
    <w:rsid w:val="00AF4FFC"/>
    <w:rsid w:val="00B0094D"/>
    <w:rsid w:val="00B0573A"/>
    <w:rsid w:val="00B06C0B"/>
    <w:rsid w:val="00B110E2"/>
    <w:rsid w:val="00B32761"/>
    <w:rsid w:val="00B35827"/>
    <w:rsid w:val="00B37A1A"/>
    <w:rsid w:val="00B5080B"/>
    <w:rsid w:val="00B52CA4"/>
    <w:rsid w:val="00B53F41"/>
    <w:rsid w:val="00B575F9"/>
    <w:rsid w:val="00B6170E"/>
    <w:rsid w:val="00B631CC"/>
    <w:rsid w:val="00B67003"/>
    <w:rsid w:val="00B6793C"/>
    <w:rsid w:val="00B72963"/>
    <w:rsid w:val="00B756CF"/>
    <w:rsid w:val="00B80323"/>
    <w:rsid w:val="00B822E7"/>
    <w:rsid w:val="00BA2CB0"/>
    <w:rsid w:val="00BA3D00"/>
    <w:rsid w:val="00BB17D5"/>
    <w:rsid w:val="00BB1C7C"/>
    <w:rsid w:val="00BB2CEE"/>
    <w:rsid w:val="00BC27BA"/>
    <w:rsid w:val="00BC321C"/>
    <w:rsid w:val="00BC345B"/>
    <w:rsid w:val="00BC58B0"/>
    <w:rsid w:val="00BC5D49"/>
    <w:rsid w:val="00BD1C85"/>
    <w:rsid w:val="00BD2E7F"/>
    <w:rsid w:val="00BE6009"/>
    <w:rsid w:val="00BE70E2"/>
    <w:rsid w:val="00BF4284"/>
    <w:rsid w:val="00BF5EB8"/>
    <w:rsid w:val="00BF6138"/>
    <w:rsid w:val="00C01267"/>
    <w:rsid w:val="00C10A16"/>
    <w:rsid w:val="00C121E8"/>
    <w:rsid w:val="00C16E17"/>
    <w:rsid w:val="00C2217F"/>
    <w:rsid w:val="00C237A0"/>
    <w:rsid w:val="00C239B0"/>
    <w:rsid w:val="00C26D8F"/>
    <w:rsid w:val="00C311B4"/>
    <w:rsid w:val="00C32376"/>
    <w:rsid w:val="00C3297B"/>
    <w:rsid w:val="00C33061"/>
    <w:rsid w:val="00C410C4"/>
    <w:rsid w:val="00C46CAB"/>
    <w:rsid w:val="00C52D30"/>
    <w:rsid w:val="00C61728"/>
    <w:rsid w:val="00C64829"/>
    <w:rsid w:val="00C64C95"/>
    <w:rsid w:val="00C6646C"/>
    <w:rsid w:val="00C668C5"/>
    <w:rsid w:val="00C74703"/>
    <w:rsid w:val="00C75DF8"/>
    <w:rsid w:val="00C76ACB"/>
    <w:rsid w:val="00C8119F"/>
    <w:rsid w:val="00C835AD"/>
    <w:rsid w:val="00C8422C"/>
    <w:rsid w:val="00C8780B"/>
    <w:rsid w:val="00C87D14"/>
    <w:rsid w:val="00C92D46"/>
    <w:rsid w:val="00C95BD4"/>
    <w:rsid w:val="00C97F54"/>
    <w:rsid w:val="00CB1D35"/>
    <w:rsid w:val="00CB1F15"/>
    <w:rsid w:val="00CB74A1"/>
    <w:rsid w:val="00CC0351"/>
    <w:rsid w:val="00CC6EA0"/>
    <w:rsid w:val="00CD206A"/>
    <w:rsid w:val="00CD74AB"/>
    <w:rsid w:val="00CE727D"/>
    <w:rsid w:val="00CE7325"/>
    <w:rsid w:val="00CF5660"/>
    <w:rsid w:val="00CF6911"/>
    <w:rsid w:val="00D01AE3"/>
    <w:rsid w:val="00D10217"/>
    <w:rsid w:val="00D12A4A"/>
    <w:rsid w:val="00D12F3F"/>
    <w:rsid w:val="00D16EC8"/>
    <w:rsid w:val="00D17157"/>
    <w:rsid w:val="00D17A43"/>
    <w:rsid w:val="00D32FBB"/>
    <w:rsid w:val="00D33AF8"/>
    <w:rsid w:val="00D35229"/>
    <w:rsid w:val="00D42311"/>
    <w:rsid w:val="00D46ECF"/>
    <w:rsid w:val="00D50D8C"/>
    <w:rsid w:val="00D53C7B"/>
    <w:rsid w:val="00D60409"/>
    <w:rsid w:val="00D638B7"/>
    <w:rsid w:val="00D63951"/>
    <w:rsid w:val="00D6652B"/>
    <w:rsid w:val="00D73F89"/>
    <w:rsid w:val="00D76473"/>
    <w:rsid w:val="00D775F0"/>
    <w:rsid w:val="00D90EAB"/>
    <w:rsid w:val="00D91ABB"/>
    <w:rsid w:val="00DA06B2"/>
    <w:rsid w:val="00DA283D"/>
    <w:rsid w:val="00DA517F"/>
    <w:rsid w:val="00DA63D9"/>
    <w:rsid w:val="00DB0BED"/>
    <w:rsid w:val="00DB4F27"/>
    <w:rsid w:val="00DB7237"/>
    <w:rsid w:val="00DC5609"/>
    <w:rsid w:val="00DC5AB4"/>
    <w:rsid w:val="00DC6B29"/>
    <w:rsid w:val="00DC7BA2"/>
    <w:rsid w:val="00DC7F84"/>
    <w:rsid w:val="00DD0AD4"/>
    <w:rsid w:val="00DE3550"/>
    <w:rsid w:val="00DE6203"/>
    <w:rsid w:val="00DF01C3"/>
    <w:rsid w:val="00E01F04"/>
    <w:rsid w:val="00E11262"/>
    <w:rsid w:val="00E175DD"/>
    <w:rsid w:val="00E22F3E"/>
    <w:rsid w:val="00E2552B"/>
    <w:rsid w:val="00E263DA"/>
    <w:rsid w:val="00E3105F"/>
    <w:rsid w:val="00E40492"/>
    <w:rsid w:val="00E415DE"/>
    <w:rsid w:val="00E44B97"/>
    <w:rsid w:val="00E44D8D"/>
    <w:rsid w:val="00E472E6"/>
    <w:rsid w:val="00E477B4"/>
    <w:rsid w:val="00E52758"/>
    <w:rsid w:val="00E620D2"/>
    <w:rsid w:val="00E66023"/>
    <w:rsid w:val="00E864D5"/>
    <w:rsid w:val="00E86FCB"/>
    <w:rsid w:val="00E914D3"/>
    <w:rsid w:val="00E95BF8"/>
    <w:rsid w:val="00EA543A"/>
    <w:rsid w:val="00EA578E"/>
    <w:rsid w:val="00EB2C3B"/>
    <w:rsid w:val="00EB3012"/>
    <w:rsid w:val="00EB3155"/>
    <w:rsid w:val="00EB4112"/>
    <w:rsid w:val="00EB5336"/>
    <w:rsid w:val="00EB689A"/>
    <w:rsid w:val="00EC5818"/>
    <w:rsid w:val="00EC6388"/>
    <w:rsid w:val="00ED0888"/>
    <w:rsid w:val="00ED2225"/>
    <w:rsid w:val="00ED691C"/>
    <w:rsid w:val="00EE3BFE"/>
    <w:rsid w:val="00EF3250"/>
    <w:rsid w:val="00F1032E"/>
    <w:rsid w:val="00F10545"/>
    <w:rsid w:val="00F15554"/>
    <w:rsid w:val="00F15677"/>
    <w:rsid w:val="00F161D3"/>
    <w:rsid w:val="00F17D38"/>
    <w:rsid w:val="00F205B1"/>
    <w:rsid w:val="00F27BA3"/>
    <w:rsid w:val="00F311BB"/>
    <w:rsid w:val="00F3172A"/>
    <w:rsid w:val="00F31F30"/>
    <w:rsid w:val="00F32353"/>
    <w:rsid w:val="00F35596"/>
    <w:rsid w:val="00F36758"/>
    <w:rsid w:val="00F405F8"/>
    <w:rsid w:val="00F427A8"/>
    <w:rsid w:val="00F51E7F"/>
    <w:rsid w:val="00F544E9"/>
    <w:rsid w:val="00F61571"/>
    <w:rsid w:val="00F73310"/>
    <w:rsid w:val="00F740DF"/>
    <w:rsid w:val="00F7422A"/>
    <w:rsid w:val="00F74DEB"/>
    <w:rsid w:val="00F77A8D"/>
    <w:rsid w:val="00F83641"/>
    <w:rsid w:val="00F86D0B"/>
    <w:rsid w:val="00F923C1"/>
    <w:rsid w:val="00F94414"/>
    <w:rsid w:val="00FA171F"/>
    <w:rsid w:val="00FA5797"/>
    <w:rsid w:val="00FA6F2F"/>
    <w:rsid w:val="00FB1681"/>
    <w:rsid w:val="00FC1451"/>
    <w:rsid w:val="00FC37EB"/>
    <w:rsid w:val="00FC3EF9"/>
    <w:rsid w:val="00FC420E"/>
    <w:rsid w:val="00FD0380"/>
    <w:rsid w:val="00FD55CE"/>
    <w:rsid w:val="00FE5BE8"/>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AA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semiHidden/>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5341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24</cp:revision>
  <cp:lastPrinted>2013-12-05T20:36:00Z</cp:lastPrinted>
  <dcterms:created xsi:type="dcterms:W3CDTF">2015-01-22T13:18:00Z</dcterms:created>
  <dcterms:modified xsi:type="dcterms:W3CDTF">2015-01-26T03:55:00Z</dcterms:modified>
  <cp:category/>
</cp:coreProperties>
</file>