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651" w:rsidRDefault="000D4049" w:rsidP="005673B8">
      <w:pPr>
        <w:pStyle w:val="Title"/>
      </w:pPr>
      <w:r>
        <w:t xml:space="preserve"> </w:t>
      </w:r>
      <w:r w:rsidRPr="005673B8">
        <w:t>memorandum</w:t>
      </w:r>
    </w:p>
    <w:tbl>
      <w:tblPr>
        <w:tblW w:w="5026" w:type="pct"/>
        <w:tblCellMar>
          <w:left w:w="0" w:type="dxa"/>
          <w:right w:w="0" w:type="dxa"/>
        </w:tblCellMar>
        <w:tblLook w:val="04A0"/>
      </w:tblPr>
      <w:tblGrid>
        <w:gridCol w:w="1354"/>
        <w:gridCol w:w="7331"/>
      </w:tblGrid>
      <w:tr w:rsidR="005673B8" w:rsidTr="00F91C8D">
        <w:trPr>
          <w:cantSplit/>
          <w:trHeight w:val="275"/>
        </w:trPr>
        <w:tc>
          <w:tcPr>
            <w:tcW w:w="1354" w:type="dxa"/>
          </w:tcPr>
          <w:p w:rsidR="005673B8" w:rsidRPr="005673B8" w:rsidRDefault="005673B8" w:rsidP="005673B8">
            <w:pPr>
              <w:pStyle w:val="Heading1"/>
            </w:pPr>
            <w:r w:rsidRPr="005673B8">
              <w:t>to:</w:t>
            </w:r>
          </w:p>
        </w:tc>
        <w:tc>
          <w:tcPr>
            <w:tcW w:w="7331" w:type="dxa"/>
          </w:tcPr>
          <w:p w:rsidR="005673B8" w:rsidRPr="00F358EA" w:rsidRDefault="001424B5" w:rsidP="001424B5">
            <w:pPr>
              <w:pStyle w:val="Heading2"/>
            </w:pPr>
            <w:r>
              <w:t>The ohio Department of Developmental Disabilities</w:t>
            </w:r>
          </w:p>
        </w:tc>
      </w:tr>
      <w:tr w:rsidR="005673B8" w:rsidTr="00F91C8D">
        <w:trPr>
          <w:cantSplit/>
          <w:trHeight w:val="275"/>
        </w:trPr>
        <w:tc>
          <w:tcPr>
            <w:tcW w:w="1354" w:type="dxa"/>
          </w:tcPr>
          <w:p w:rsidR="005673B8" w:rsidRPr="005673B8" w:rsidRDefault="005673B8" w:rsidP="005673B8">
            <w:pPr>
              <w:pStyle w:val="Heading1"/>
            </w:pPr>
            <w:r w:rsidRPr="005673B8">
              <w:t>from:</w:t>
            </w:r>
          </w:p>
        </w:tc>
        <w:tc>
          <w:tcPr>
            <w:tcW w:w="7331" w:type="dxa"/>
          </w:tcPr>
          <w:p w:rsidR="005673B8" w:rsidRPr="00F358EA" w:rsidRDefault="001424B5" w:rsidP="001424B5">
            <w:pPr>
              <w:pStyle w:val="Heading2"/>
            </w:pPr>
            <w:r>
              <w:t>OPRA, OHCA, VFA and OACBDD</w:t>
            </w:r>
          </w:p>
        </w:tc>
      </w:tr>
      <w:tr w:rsidR="005673B8" w:rsidTr="00F91C8D">
        <w:trPr>
          <w:cantSplit/>
          <w:trHeight w:val="275"/>
        </w:trPr>
        <w:tc>
          <w:tcPr>
            <w:tcW w:w="1354" w:type="dxa"/>
          </w:tcPr>
          <w:p w:rsidR="005673B8" w:rsidRPr="005673B8" w:rsidRDefault="005673B8" w:rsidP="005673B8">
            <w:pPr>
              <w:pStyle w:val="Heading1"/>
            </w:pPr>
            <w:r w:rsidRPr="005673B8">
              <w:t>subject:</w:t>
            </w:r>
          </w:p>
        </w:tc>
        <w:tc>
          <w:tcPr>
            <w:tcW w:w="7331" w:type="dxa"/>
          </w:tcPr>
          <w:p w:rsidR="005673B8" w:rsidRPr="008D46AC" w:rsidRDefault="001424B5" w:rsidP="001424B5">
            <w:pPr>
              <w:pStyle w:val="Heading2"/>
              <w:rPr>
                <w:strike/>
                <w:color w:val="FF0000"/>
              </w:rPr>
            </w:pPr>
            <w:r w:rsidRPr="008D46AC">
              <w:rPr>
                <w:strike/>
              </w:rPr>
              <w:t>ICF Downsizing/Conversion</w:t>
            </w:r>
            <w:r w:rsidR="008D46AC" w:rsidRPr="008D46AC">
              <w:t xml:space="preserve"> </w:t>
            </w:r>
            <w:r w:rsidR="008D46AC" w:rsidRPr="008D46AC">
              <w:rPr>
                <w:color w:val="FF0000"/>
              </w:rPr>
              <w:t>RESPONSE TO BUDGET ISSUES</w:t>
            </w:r>
            <w:r w:rsidR="008D46AC">
              <w:rPr>
                <w:color w:val="FF0000"/>
              </w:rPr>
              <w:t xml:space="preserve"> PRESENTED BY dodd</w:t>
            </w:r>
          </w:p>
        </w:tc>
      </w:tr>
      <w:tr w:rsidR="005673B8" w:rsidTr="00F91C8D">
        <w:trPr>
          <w:cantSplit/>
          <w:trHeight w:val="275"/>
        </w:trPr>
        <w:tc>
          <w:tcPr>
            <w:tcW w:w="1354" w:type="dxa"/>
          </w:tcPr>
          <w:p w:rsidR="005673B8" w:rsidRPr="005673B8" w:rsidRDefault="005673B8" w:rsidP="005673B8">
            <w:pPr>
              <w:pStyle w:val="Heading1"/>
            </w:pPr>
            <w:r w:rsidRPr="005673B8">
              <w:t>date:</w:t>
            </w:r>
          </w:p>
        </w:tc>
        <w:sdt>
          <w:sdtPr>
            <w:alias w:val="Date"/>
            <w:tag w:val="Date"/>
            <w:id w:val="85081685"/>
            <w:placeholder>
              <w:docPart w:val="83DDEF6C023E418F83CA4AFDABFF493E"/>
            </w:placeholder>
            <w:date w:fullDate="2015-10-01T00:00:00Z">
              <w:dateFormat w:val="MMMM d, yyyy"/>
              <w:lid w:val="en-US"/>
              <w:storeMappedDataAs w:val="dateTime"/>
              <w:calendar w:val="gregorian"/>
            </w:date>
          </w:sdtPr>
          <w:sdtContent>
            <w:tc>
              <w:tcPr>
                <w:tcW w:w="7331" w:type="dxa"/>
              </w:tcPr>
              <w:p w:rsidR="005673B8" w:rsidRPr="00F358EA" w:rsidRDefault="001424B5" w:rsidP="001424B5">
                <w:pPr>
                  <w:pStyle w:val="Heading2"/>
                </w:pPr>
                <w:r>
                  <w:t>October 1, 2015</w:t>
                </w:r>
              </w:p>
            </w:tc>
          </w:sdtContent>
        </w:sdt>
      </w:tr>
      <w:tr w:rsidR="005673B8" w:rsidTr="00F91C8D">
        <w:trPr>
          <w:cantSplit/>
          <w:trHeight w:val="275"/>
        </w:trPr>
        <w:tc>
          <w:tcPr>
            <w:tcW w:w="1354" w:type="dxa"/>
          </w:tcPr>
          <w:p w:rsidR="005673B8" w:rsidRPr="005673B8" w:rsidRDefault="005673B8" w:rsidP="005673B8">
            <w:pPr>
              <w:pStyle w:val="Heading1"/>
            </w:pPr>
          </w:p>
        </w:tc>
        <w:tc>
          <w:tcPr>
            <w:tcW w:w="7331" w:type="dxa"/>
          </w:tcPr>
          <w:p w:rsidR="005673B8" w:rsidRPr="00F358EA" w:rsidRDefault="005673B8" w:rsidP="00F91C8D">
            <w:pPr>
              <w:pStyle w:val="Heading2"/>
            </w:pPr>
          </w:p>
        </w:tc>
      </w:tr>
      <w:tr w:rsidR="005673B8" w:rsidTr="00F91C8D">
        <w:trPr>
          <w:cantSplit/>
          <w:trHeight w:val="76"/>
        </w:trPr>
        <w:tc>
          <w:tcPr>
            <w:tcW w:w="1354" w:type="dxa"/>
            <w:tcBorders>
              <w:bottom w:val="single" w:sz="4" w:space="0" w:color="404040" w:themeColor="text1" w:themeTint="BF"/>
            </w:tcBorders>
          </w:tcPr>
          <w:p w:rsidR="005673B8" w:rsidRPr="005673B8" w:rsidRDefault="005673B8" w:rsidP="005673B8">
            <w:pPr>
              <w:pStyle w:val="Heading1"/>
              <w:rPr>
                <w:b w:val="0"/>
              </w:rPr>
            </w:pPr>
          </w:p>
        </w:tc>
        <w:tc>
          <w:tcPr>
            <w:tcW w:w="7331" w:type="dxa"/>
            <w:tcBorders>
              <w:bottom w:val="single" w:sz="4" w:space="0" w:color="404040" w:themeColor="text1" w:themeTint="BF"/>
            </w:tcBorders>
          </w:tcPr>
          <w:p w:rsidR="005673B8" w:rsidRDefault="005673B8" w:rsidP="005673B8">
            <w:pPr>
              <w:pStyle w:val="Heading1"/>
            </w:pPr>
          </w:p>
        </w:tc>
      </w:tr>
    </w:tbl>
    <w:p w:rsidR="001424B5" w:rsidRDefault="001424B5" w:rsidP="001424B5">
      <w:pPr>
        <w:jc w:val="center"/>
        <w:rPr>
          <w:rFonts w:asciiTheme="majorHAnsi" w:hAnsiTheme="majorHAnsi"/>
          <w:b/>
          <w:sz w:val="28"/>
          <w:szCs w:val="28"/>
        </w:rPr>
      </w:pPr>
      <w:r w:rsidRPr="00A815C8">
        <w:rPr>
          <w:rFonts w:asciiTheme="majorHAnsi" w:hAnsiTheme="majorHAnsi"/>
          <w:b/>
          <w:sz w:val="28"/>
          <w:szCs w:val="28"/>
        </w:rPr>
        <w:t>ICF Budget Recommendations for Consideration</w:t>
      </w:r>
    </w:p>
    <w:p w:rsidR="001424B5" w:rsidRDefault="001424B5" w:rsidP="001424B5">
      <w:pPr>
        <w:jc w:val="center"/>
        <w:rPr>
          <w:rFonts w:asciiTheme="majorHAnsi" w:hAnsiTheme="majorHAnsi"/>
          <w:b/>
          <w:sz w:val="28"/>
          <w:szCs w:val="28"/>
        </w:rPr>
      </w:pPr>
    </w:p>
    <w:p w:rsidR="008D46AC" w:rsidRDefault="008D46AC" w:rsidP="001424B5">
      <w:pPr>
        <w:rPr>
          <w:rFonts w:asciiTheme="majorHAnsi" w:hAnsiTheme="majorHAnsi"/>
          <w:b/>
          <w:color w:val="FF0000"/>
        </w:rPr>
      </w:pPr>
      <w:r>
        <w:rPr>
          <w:rFonts w:asciiTheme="majorHAnsi" w:hAnsiTheme="majorHAnsi"/>
          <w:b/>
          <w:color w:val="FF0000"/>
        </w:rPr>
        <w:t xml:space="preserve">The set of budget issues </w:t>
      </w:r>
      <w:r w:rsidR="0034314F">
        <w:rPr>
          <w:rFonts w:asciiTheme="majorHAnsi" w:hAnsiTheme="majorHAnsi"/>
          <w:b/>
          <w:color w:val="FF0000"/>
        </w:rPr>
        <w:t xml:space="preserve">Director Martin </w:t>
      </w:r>
      <w:r>
        <w:rPr>
          <w:rFonts w:asciiTheme="majorHAnsi" w:hAnsiTheme="majorHAnsi"/>
          <w:b/>
          <w:color w:val="FF0000"/>
        </w:rPr>
        <w:t xml:space="preserve">presented at the recent ICF Reimbursement Workgroup meeting include potential responses to the Disability Rights Organization's demands as well as related concepts. Within that complex of issues, we recognize that accelerating the pace of ICF conversions to waivers is of paramount importance to the department. </w:t>
      </w:r>
    </w:p>
    <w:p w:rsidR="008D46AC" w:rsidRDefault="008D46AC" w:rsidP="001424B5">
      <w:pPr>
        <w:rPr>
          <w:rFonts w:asciiTheme="majorHAnsi" w:hAnsiTheme="majorHAnsi"/>
          <w:b/>
          <w:color w:val="FF0000"/>
        </w:rPr>
      </w:pPr>
    </w:p>
    <w:p w:rsidR="008D46AC" w:rsidRDefault="008D46AC" w:rsidP="008D46AC">
      <w:pPr>
        <w:rPr>
          <w:rFonts w:asciiTheme="majorHAnsi" w:hAnsiTheme="majorHAnsi"/>
          <w:b/>
        </w:rPr>
      </w:pPr>
      <w:r>
        <w:rPr>
          <w:rFonts w:asciiTheme="majorHAnsi" w:hAnsiTheme="majorHAnsi"/>
          <w:b/>
          <w:color w:val="FF0000"/>
        </w:rPr>
        <w:t>While we believe that we and our members are acting in good faith to implement the agreement memorialized in House Bill 59</w:t>
      </w:r>
      <w:r w:rsidR="0034314F">
        <w:rPr>
          <w:rFonts w:asciiTheme="majorHAnsi" w:hAnsiTheme="majorHAnsi"/>
          <w:b/>
          <w:color w:val="FF0000"/>
        </w:rPr>
        <w:t xml:space="preserve"> in keeping with the five year time horizon set by the legislation</w:t>
      </w:r>
      <w:r>
        <w:rPr>
          <w:rFonts w:asciiTheme="majorHAnsi" w:hAnsiTheme="majorHAnsi"/>
          <w:b/>
          <w:color w:val="FF0000"/>
        </w:rPr>
        <w:t>, we offer additional recommendations below that will believe would be helpful</w:t>
      </w:r>
      <w:r w:rsidR="0034314F">
        <w:rPr>
          <w:rFonts w:asciiTheme="majorHAnsi" w:hAnsiTheme="majorHAnsi"/>
          <w:b/>
          <w:color w:val="FF0000"/>
        </w:rPr>
        <w:t xml:space="preserve"> in accelerating the process</w:t>
      </w:r>
      <w:r>
        <w:rPr>
          <w:rFonts w:asciiTheme="majorHAnsi" w:hAnsiTheme="majorHAnsi"/>
          <w:b/>
          <w:color w:val="FF0000"/>
        </w:rPr>
        <w:t xml:space="preserve">. </w:t>
      </w:r>
      <w:r w:rsidR="001424B5">
        <w:rPr>
          <w:rFonts w:asciiTheme="majorHAnsi" w:hAnsiTheme="majorHAnsi"/>
          <w:b/>
        </w:rPr>
        <w:t xml:space="preserve">Numerous and well known issues have prevented agencies from engaging in ICF conversions. We have attempted to address each of them below. </w:t>
      </w:r>
    </w:p>
    <w:p w:rsidR="008D46AC" w:rsidRDefault="008D46AC" w:rsidP="008D46AC">
      <w:pPr>
        <w:rPr>
          <w:rFonts w:asciiTheme="majorHAnsi" w:hAnsiTheme="majorHAnsi"/>
          <w:b/>
        </w:rPr>
      </w:pPr>
    </w:p>
    <w:p w:rsidR="008D46AC" w:rsidRPr="008D46AC" w:rsidRDefault="008D46AC" w:rsidP="008D46AC">
      <w:pPr>
        <w:rPr>
          <w:rFonts w:asciiTheme="majorHAnsi" w:hAnsiTheme="majorHAnsi"/>
          <w:b/>
          <w:color w:val="FF0000"/>
        </w:rPr>
      </w:pPr>
      <w:r>
        <w:rPr>
          <w:rFonts w:asciiTheme="majorHAnsi" w:hAnsiTheme="majorHAnsi"/>
          <w:b/>
          <w:color w:val="FF0000"/>
        </w:rPr>
        <w:t xml:space="preserve">We also wish to emphasize that we believe it is completely unrealistic to assume the solutions that DRO and others expect can be achieved in a budget neutral fashion. More state funding, both Medicaid and </w:t>
      </w:r>
      <w:r w:rsidR="0034314F">
        <w:rPr>
          <w:rFonts w:asciiTheme="majorHAnsi" w:hAnsiTheme="majorHAnsi"/>
          <w:b/>
          <w:color w:val="FF0000"/>
        </w:rPr>
        <w:t>non-Medicaid</w:t>
      </w:r>
      <w:r>
        <w:rPr>
          <w:rFonts w:asciiTheme="majorHAnsi" w:hAnsiTheme="majorHAnsi"/>
          <w:b/>
          <w:color w:val="FF0000"/>
        </w:rPr>
        <w:t xml:space="preserve">, </w:t>
      </w:r>
      <w:r>
        <w:rPr>
          <w:rFonts w:asciiTheme="majorHAnsi" w:hAnsiTheme="majorHAnsi"/>
          <w:b/>
          <w:color w:val="FF0000"/>
          <w:u w:val="single"/>
        </w:rPr>
        <w:t>has to be appropriated</w:t>
      </w:r>
      <w:r>
        <w:rPr>
          <w:rFonts w:asciiTheme="majorHAnsi" w:hAnsiTheme="majorHAnsi"/>
          <w:b/>
          <w:color w:val="FF0000"/>
        </w:rPr>
        <w:t>.</w:t>
      </w:r>
    </w:p>
    <w:p w:rsidR="008D46AC" w:rsidRDefault="008D46AC" w:rsidP="008D46AC">
      <w:pPr>
        <w:rPr>
          <w:rFonts w:asciiTheme="majorHAnsi" w:hAnsiTheme="majorHAnsi"/>
          <w:b/>
        </w:rPr>
      </w:pPr>
      <w:r>
        <w:rPr>
          <w:rFonts w:asciiTheme="majorHAnsi" w:hAnsiTheme="majorHAnsi"/>
          <w:b/>
        </w:rPr>
        <w:t xml:space="preserve"> </w:t>
      </w:r>
    </w:p>
    <w:p w:rsidR="001424B5" w:rsidRPr="008D46AC" w:rsidRDefault="001424B5" w:rsidP="001424B5">
      <w:pPr>
        <w:rPr>
          <w:rFonts w:asciiTheme="majorHAnsi" w:hAnsiTheme="majorHAnsi"/>
          <w:b/>
          <w:color w:val="FF0000"/>
        </w:rPr>
      </w:pPr>
      <w:r>
        <w:rPr>
          <w:rFonts w:asciiTheme="majorHAnsi" w:hAnsiTheme="majorHAnsi"/>
          <w:b/>
        </w:rPr>
        <w:t xml:space="preserve">Our goal is to reach consensus on a way to move the entire system forward. A lawsuit will only serve to tie up financial resources that could be used for conversion/downsizing </w:t>
      </w:r>
      <w:r w:rsidR="00B3750F">
        <w:rPr>
          <w:rFonts w:asciiTheme="majorHAnsi" w:hAnsiTheme="majorHAnsi"/>
          <w:b/>
          <w:color w:val="FF0000"/>
        </w:rPr>
        <w:t>and other reform</w:t>
      </w:r>
      <w:r w:rsidR="00B3750F">
        <w:rPr>
          <w:rFonts w:asciiTheme="majorHAnsi" w:hAnsiTheme="majorHAnsi"/>
          <w:b/>
        </w:rPr>
        <w:t xml:space="preserve"> </w:t>
      </w:r>
      <w:r>
        <w:rPr>
          <w:rFonts w:asciiTheme="majorHAnsi" w:hAnsiTheme="majorHAnsi"/>
          <w:b/>
        </w:rPr>
        <w:t>efforts and prolong any real progress for years to come.</w:t>
      </w:r>
    </w:p>
    <w:p w:rsidR="008D46AC" w:rsidRDefault="008D46AC" w:rsidP="001424B5">
      <w:pPr>
        <w:rPr>
          <w:rFonts w:asciiTheme="majorHAnsi" w:hAnsiTheme="majorHAnsi"/>
          <w:b/>
        </w:rPr>
      </w:pPr>
    </w:p>
    <w:p w:rsidR="00042CCC" w:rsidRPr="00347574" w:rsidRDefault="00042CCC" w:rsidP="001424B5">
      <w:pPr>
        <w:rPr>
          <w:rFonts w:asciiTheme="majorHAnsi" w:hAnsiTheme="majorHAnsi"/>
          <w:b/>
          <w:color w:val="FF0000"/>
          <w:sz w:val="28"/>
          <w:szCs w:val="28"/>
        </w:rPr>
      </w:pPr>
      <w:r>
        <w:rPr>
          <w:rFonts w:asciiTheme="majorHAnsi" w:hAnsiTheme="majorHAnsi"/>
          <w:b/>
          <w:sz w:val="28"/>
          <w:szCs w:val="28"/>
        </w:rPr>
        <w:t xml:space="preserve">General Policy </w:t>
      </w:r>
      <w:r w:rsidRPr="00347574">
        <w:rPr>
          <w:rFonts w:asciiTheme="majorHAnsi" w:hAnsiTheme="majorHAnsi"/>
          <w:b/>
          <w:strike/>
          <w:sz w:val="28"/>
          <w:szCs w:val="28"/>
        </w:rPr>
        <w:t>Considerations</w:t>
      </w:r>
      <w:r w:rsidR="00347574" w:rsidRPr="00347574">
        <w:rPr>
          <w:rFonts w:asciiTheme="majorHAnsi" w:hAnsiTheme="majorHAnsi"/>
          <w:b/>
          <w:sz w:val="28"/>
          <w:szCs w:val="28"/>
        </w:rPr>
        <w:t xml:space="preserve"> </w:t>
      </w:r>
      <w:r w:rsidR="00347574" w:rsidRPr="00347574">
        <w:rPr>
          <w:rFonts w:asciiTheme="majorHAnsi" w:hAnsiTheme="majorHAnsi"/>
          <w:b/>
          <w:color w:val="FF0000"/>
          <w:sz w:val="28"/>
          <w:szCs w:val="28"/>
        </w:rPr>
        <w:t>Recommendations</w:t>
      </w:r>
    </w:p>
    <w:p w:rsidR="001424B5" w:rsidRPr="00095BEB" w:rsidRDefault="001424B5" w:rsidP="001424B5">
      <w:pPr>
        <w:rPr>
          <w:rFonts w:asciiTheme="majorHAnsi" w:hAnsiTheme="majorHAnsi"/>
          <w:b/>
        </w:rPr>
      </w:pPr>
    </w:p>
    <w:p w:rsidR="001424B5" w:rsidRPr="00EF12C5" w:rsidRDefault="001424B5" w:rsidP="001424B5">
      <w:pPr>
        <w:pStyle w:val="ListParagraph"/>
        <w:numPr>
          <w:ilvl w:val="0"/>
          <w:numId w:val="1"/>
        </w:numPr>
        <w:rPr>
          <w:rFonts w:asciiTheme="majorHAnsi" w:hAnsiTheme="majorHAnsi"/>
        </w:rPr>
      </w:pPr>
      <w:r w:rsidRPr="00A77186">
        <w:rPr>
          <w:rFonts w:asciiTheme="majorHAnsi" w:hAnsiTheme="majorHAnsi"/>
          <w:b/>
          <w:u w:val="single"/>
        </w:rPr>
        <w:t>The Need for Data</w:t>
      </w:r>
      <w:r>
        <w:rPr>
          <w:rFonts w:asciiTheme="majorHAnsi" w:hAnsiTheme="majorHAnsi"/>
          <w:b/>
        </w:rPr>
        <w:t xml:space="preserve">: In order to analyze the costs associated with system reform, it is imperative that we know how many people want to move and what type of setting they desire. We recommend that a survey be conducted to determine the extent and scope of the issue. </w:t>
      </w:r>
      <w:r w:rsidRPr="00584143">
        <w:rPr>
          <w:rFonts w:asciiTheme="majorHAnsi" w:hAnsiTheme="majorHAnsi"/>
          <w:b/>
          <w:strike/>
        </w:rPr>
        <w:t>Barry Jam</w:t>
      </w:r>
      <w:r w:rsidR="00B308A3" w:rsidRPr="00584143">
        <w:rPr>
          <w:rFonts w:asciiTheme="majorHAnsi" w:hAnsiTheme="majorHAnsi"/>
          <w:b/>
          <w:strike/>
        </w:rPr>
        <w:t>i</w:t>
      </w:r>
      <w:r w:rsidRPr="00584143">
        <w:rPr>
          <w:rFonts w:asciiTheme="majorHAnsi" w:hAnsiTheme="majorHAnsi"/>
          <w:b/>
          <w:strike/>
        </w:rPr>
        <w:t>eson’s group</w:t>
      </w:r>
      <w:r>
        <w:rPr>
          <w:rFonts w:asciiTheme="majorHAnsi" w:hAnsiTheme="majorHAnsi"/>
          <w:b/>
        </w:rPr>
        <w:t xml:space="preserve"> </w:t>
      </w:r>
      <w:r w:rsidR="00584143">
        <w:rPr>
          <w:rFonts w:asciiTheme="majorHAnsi" w:hAnsiTheme="majorHAnsi"/>
          <w:b/>
          <w:color w:val="FF0000"/>
        </w:rPr>
        <w:t xml:space="preserve">The Government Resource Center </w:t>
      </w:r>
      <w:r>
        <w:rPr>
          <w:rFonts w:asciiTheme="majorHAnsi" w:hAnsiTheme="majorHAnsi"/>
          <w:b/>
        </w:rPr>
        <w:t xml:space="preserve">at OSU could be engaged. Real numbers can then be determined and </w:t>
      </w:r>
      <w:r w:rsidR="00E9580E">
        <w:rPr>
          <w:rFonts w:asciiTheme="majorHAnsi" w:hAnsiTheme="majorHAnsi"/>
          <w:b/>
          <w:color w:val="FF0000"/>
        </w:rPr>
        <w:t xml:space="preserve">more highly focused </w:t>
      </w:r>
      <w:r>
        <w:rPr>
          <w:rFonts w:asciiTheme="majorHAnsi" w:hAnsiTheme="majorHAnsi"/>
          <w:b/>
        </w:rPr>
        <w:t>planning can begin.</w:t>
      </w:r>
      <w:r w:rsidR="008C5CA0">
        <w:rPr>
          <w:rFonts w:asciiTheme="majorHAnsi" w:hAnsiTheme="majorHAnsi"/>
          <w:b/>
        </w:rPr>
        <w:t xml:space="preserve"> </w:t>
      </w:r>
      <w:r w:rsidR="008C5CA0">
        <w:rPr>
          <w:rFonts w:asciiTheme="majorHAnsi" w:hAnsiTheme="majorHAnsi"/>
          <w:b/>
          <w:color w:val="FF0000"/>
        </w:rPr>
        <w:t>For example, ICFs with significant numbers of Class 6 individuals could be targeted for analysis, consultation, and assistance</w:t>
      </w:r>
      <w:r w:rsidR="00A84FB1">
        <w:rPr>
          <w:rFonts w:asciiTheme="majorHAnsi" w:hAnsiTheme="majorHAnsi"/>
          <w:b/>
          <w:color w:val="FF0000"/>
        </w:rPr>
        <w:t xml:space="preserve"> relative to possible conversion to waiver.</w:t>
      </w:r>
    </w:p>
    <w:p w:rsidR="00EF12C5" w:rsidRPr="00B16210" w:rsidRDefault="00EF12C5" w:rsidP="00EF12C5">
      <w:pPr>
        <w:pStyle w:val="ListParagraph"/>
        <w:ind w:left="360"/>
        <w:rPr>
          <w:rFonts w:asciiTheme="majorHAnsi" w:hAnsiTheme="majorHAnsi"/>
        </w:rPr>
      </w:pPr>
    </w:p>
    <w:p w:rsidR="00EF12C5" w:rsidRPr="00EF12C5" w:rsidRDefault="00EF12C5" w:rsidP="00EF12C5">
      <w:pPr>
        <w:pStyle w:val="ListParagraph"/>
        <w:numPr>
          <w:ilvl w:val="0"/>
          <w:numId w:val="1"/>
        </w:numPr>
        <w:rPr>
          <w:rFonts w:asciiTheme="majorHAnsi" w:hAnsiTheme="majorHAnsi"/>
          <w:b/>
          <w:u w:val="single"/>
        </w:rPr>
      </w:pPr>
      <w:r>
        <w:rPr>
          <w:rFonts w:asciiTheme="majorHAnsi" w:hAnsiTheme="majorHAnsi"/>
          <w:b/>
          <w:u w:val="single"/>
        </w:rPr>
        <w:t>One Page Service Summary:</w:t>
      </w:r>
      <w:r>
        <w:rPr>
          <w:rFonts w:asciiTheme="majorHAnsi" w:hAnsiTheme="majorHAnsi"/>
        </w:rPr>
        <w:t xml:space="preserve"> </w:t>
      </w:r>
      <w:r>
        <w:rPr>
          <w:rFonts w:asciiTheme="majorHAnsi" w:hAnsiTheme="majorHAnsi"/>
          <w:b/>
        </w:rPr>
        <w:t>We recommend the development of a one page, standardized service summary that should be discussed with individuals and guardians annually. It will list the service package available in each service area. This could help to insure people are regularly reviewing their service options.</w:t>
      </w:r>
    </w:p>
    <w:p w:rsidR="00EF12C5" w:rsidRPr="00EF12C5" w:rsidRDefault="00EF12C5" w:rsidP="00EF12C5">
      <w:pPr>
        <w:pStyle w:val="ListParagraph"/>
        <w:rPr>
          <w:rFonts w:asciiTheme="majorHAnsi" w:hAnsiTheme="majorHAnsi"/>
          <w:b/>
          <w:u w:val="single"/>
        </w:rPr>
      </w:pPr>
    </w:p>
    <w:p w:rsidR="00EF12C5" w:rsidRPr="00EF12C5" w:rsidRDefault="00EF12C5" w:rsidP="00EF12C5">
      <w:pPr>
        <w:pStyle w:val="ListParagraph"/>
        <w:numPr>
          <w:ilvl w:val="0"/>
          <w:numId w:val="1"/>
        </w:numPr>
        <w:rPr>
          <w:rFonts w:asciiTheme="majorHAnsi" w:hAnsiTheme="majorHAnsi"/>
          <w:b/>
          <w:u w:val="single"/>
        </w:rPr>
      </w:pPr>
      <w:r>
        <w:rPr>
          <w:rFonts w:asciiTheme="majorHAnsi" w:hAnsiTheme="majorHAnsi"/>
          <w:b/>
          <w:u w:val="single"/>
        </w:rPr>
        <w:t>Staff Recruitment/Retention Data:</w:t>
      </w:r>
      <w:r w:rsidRPr="0034314F">
        <w:rPr>
          <w:rFonts w:asciiTheme="majorHAnsi" w:hAnsiTheme="majorHAnsi"/>
          <w:b/>
        </w:rPr>
        <w:t xml:space="preserve"> </w:t>
      </w:r>
      <w:r>
        <w:rPr>
          <w:rFonts w:asciiTheme="majorHAnsi" w:hAnsiTheme="majorHAnsi"/>
          <w:b/>
        </w:rPr>
        <w:t>We recommend that DODD keep data on staff retention and recruitment in the DC downsizing efforts (the new state-admit homes). We believe there could be useful data obtained that would have broader implications for the field as a whole.</w:t>
      </w:r>
    </w:p>
    <w:p w:rsidR="00EF12C5" w:rsidRPr="00EF12C5" w:rsidRDefault="00EF12C5" w:rsidP="00EF12C5">
      <w:pPr>
        <w:pStyle w:val="ListParagraph"/>
        <w:rPr>
          <w:rFonts w:asciiTheme="majorHAnsi" w:hAnsiTheme="majorHAnsi"/>
          <w:b/>
          <w:u w:val="single"/>
        </w:rPr>
      </w:pPr>
    </w:p>
    <w:p w:rsidR="00EF12C5" w:rsidRPr="002416CB" w:rsidRDefault="00EF12C5" w:rsidP="00EF12C5">
      <w:pPr>
        <w:pStyle w:val="ListParagraph"/>
        <w:numPr>
          <w:ilvl w:val="0"/>
          <w:numId w:val="1"/>
        </w:numPr>
        <w:rPr>
          <w:rFonts w:asciiTheme="majorHAnsi" w:hAnsiTheme="majorHAnsi"/>
          <w:b/>
          <w:u w:val="single"/>
        </w:rPr>
      </w:pPr>
      <w:r>
        <w:rPr>
          <w:rFonts w:asciiTheme="majorHAnsi" w:hAnsiTheme="majorHAnsi"/>
          <w:b/>
          <w:u w:val="single"/>
        </w:rPr>
        <w:t>Case Studies:</w:t>
      </w:r>
      <w:r>
        <w:rPr>
          <w:rFonts w:asciiTheme="majorHAnsi" w:hAnsiTheme="majorHAnsi"/>
        </w:rPr>
        <w:t xml:space="preserve"> </w:t>
      </w:r>
      <w:r>
        <w:rPr>
          <w:rFonts w:asciiTheme="majorHAnsi" w:hAnsiTheme="majorHAnsi"/>
          <w:b/>
        </w:rPr>
        <w:t xml:space="preserve">We recommend that case studies on </w:t>
      </w:r>
      <w:r w:rsidR="0034314F">
        <w:rPr>
          <w:rFonts w:asciiTheme="majorHAnsi" w:hAnsiTheme="majorHAnsi"/>
          <w:b/>
          <w:color w:val="FF0000"/>
        </w:rPr>
        <w:t xml:space="preserve">successful </w:t>
      </w:r>
      <w:r>
        <w:rPr>
          <w:rFonts w:asciiTheme="majorHAnsi" w:hAnsiTheme="majorHAnsi"/>
          <w:b/>
        </w:rPr>
        <w:t>conversion efforts be gathered and shared with the field as a whole.</w:t>
      </w:r>
    </w:p>
    <w:p w:rsidR="00042CCC" w:rsidRDefault="00042CCC" w:rsidP="001424B5">
      <w:pPr>
        <w:rPr>
          <w:rFonts w:asciiTheme="majorHAnsi" w:hAnsiTheme="majorHAnsi"/>
          <w:b/>
          <w:sz w:val="28"/>
          <w:szCs w:val="28"/>
        </w:rPr>
      </w:pPr>
    </w:p>
    <w:p w:rsidR="001424B5" w:rsidRDefault="00042CCC" w:rsidP="001424B5">
      <w:pPr>
        <w:rPr>
          <w:rFonts w:asciiTheme="majorHAnsi" w:hAnsiTheme="majorHAnsi"/>
          <w:b/>
          <w:color w:val="FF0000"/>
          <w:sz w:val="28"/>
          <w:szCs w:val="28"/>
        </w:rPr>
      </w:pPr>
      <w:r w:rsidRPr="00347574">
        <w:rPr>
          <w:rFonts w:asciiTheme="majorHAnsi" w:hAnsiTheme="majorHAnsi"/>
          <w:b/>
          <w:strike/>
          <w:sz w:val="28"/>
          <w:szCs w:val="28"/>
        </w:rPr>
        <w:t>ICF Policy Considerations</w:t>
      </w:r>
      <w:r w:rsidR="00347574" w:rsidRPr="00347574">
        <w:rPr>
          <w:rFonts w:asciiTheme="majorHAnsi" w:hAnsiTheme="majorHAnsi"/>
          <w:b/>
          <w:sz w:val="28"/>
          <w:szCs w:val="28"/>
        </w:rPr>
        <w:t xml:space="preserve"> </w:t>
      </w:r>
      <w:r w:rsidR="00347574">
        <w:rPr>
          <w:rFonts w:asciiTheme="majorHAnsi" w:hAnsiTheme="majorHAnsi"/>
          <w:b/>
          <w:color w:val="FF0000"/>
          <w:sz w:val="28"/>
          <w:szCs w:val="28"/>
        </w:rPr>
        <w:t>I</w:t>
      </w:r>
      <w:r w:rsidR="00E36DBC">
        <w:rPr>
          <w:rFonts w:asciiTheme="majorHAnsi" w:hAnsiTheme="majorHAnsi"/>
          <w:b/>
          <w:color w:val="FF0000"/>
          <w:sz w:val="28"/>
          <w:szCs w:val="28"/>
        </w:rPr>
        <w:t xml:space="preserve">CF Based Incentives </w:t>
      </w:r>
      <w:r w:rsidR="00347574">
        <w:rPr>
          <w:rFonts w:asciiTheme="majorHAnsi" w:hAnsiTheme="majorHAnsi"/>
          <w:b/>
          <w:color w:val="FF0000"/>
          <w:sz w:val="28"/>
          <w:szCs w:val="28"/>
        </w:rPr>
        <w:t>to Convert</w:t>
      </w:r>
    </w:p>
    <w:p w:rsidR="00E9580E" w:rsidRPr="00E9580E" w:rsidRDefault="00E9580E" w:rsidP="001424B5">
      <w:pPr>
        <w:rPr>
          <w:rFonts w:asciiTheme="majorHAnsi" w:hAnsiTheme="majorHAnsi"/>
          <w:b/>
          <w:color w:val="FF0000"/>
          <w:szCs w:val="22"/>
        </w:rPr>
      </w:pPr>
    </w:p>
    <w:p w:rsidR="00E9580E" w:rsidRPr="00E9580E" w:rsidRDefault="00E9580E" w:rsidP="001424B5">
      <w:pPr>
        <w:rPr>
          <w:rFonts w:asciiTheme="majorHAnsi" w:hAnsiTheme="majorHAnsi"/>
          <w:b/>
          <w:color w:val="FF0000"/>
          <w:szCs w:val="22"/>
        </w:rPr>
      </w:pPr>
      <w:r>
        <w:rPr>
          <w:rFonts w:asciiTheme="majorHAnsi" w:hAnsiTheme="majorHAnsi"/>
          <w:b/>
          <w:color w:val="FF0000"/>
          <w:szCs w:val="22"/>
        </w:rPr>
        <w:t xml:space="preserve">Because conversion from ICF to waiver is voluntary, it has to be driven both by </w:t>
      </w:r>
      <w:r w:rsidR="00E36DBC">
        <w:rPr>
          <w:rFonts w:asciiTheme="majorHAnsi" w:hAnsiTheme="majorHAnsi"/>
          <w:b/>
          <w:color w:val="FF0000"/>
          <w:szCs w:val="22"/>
        </w:rPr>
        <w:t xml:space="preserve">a perception </w:t>
      </w:r>
      <w:r w:rsidR="0034314F">
        <w:rPr>
          <w:rFonts w:asciiTheme="majorHAnsi" w:hAnsiTheme="majorHAnsi"/>
          <w:b/>
          <w:color w:val="FF0000"/>
          <w:szCs w:val="22"/>
        </w:rPr>
        <w:t>on the part of</w:t>
      </w:r>
      <w:r w:rsidR="00E36DBC">
        <w:rPr>
          <w:rFonts w:asciiTheme="majorHAnsi" w:hAnsiTheme="majorHAnsi"/>
          <w:b/>
          <w:color w:val="FF0000"/>
          <w:szCs w:val="22"/>
        </w:rPr>
        <w:t xml:space="preserve"> providers that it is "the right thing to do" and by financial </w:t>
      </w:r>
      <w:r w:rsidR="0034314F">
        <w:rPr>
          <w:rFonts w:asciiTheme="majorHAnsi" w:hAnsiTheme="majorHAnsi"/>
          <w:b/>
          <w:color w:val="FF0000"/>
          <w:szCs w:val="22"/>
        </w:rPr>
        <w:t>and</w:t>
      </w:r>
      <w:r w:rsidR="00E36DBC">
        <w:rPr>
          <w:rFonts w:asciiTheme="majorHAnsi" w:hAnsiTheme="majorHAnsi"/>
          <w:b/>
          <w:color w:val="FF0000"/>
          <w:szCs w:val="22"/>
        </w:rPr>
        <w:t xml:space="preserve"> programmatic incentives. The incentives can be divided into two groups, one relating to the ICF (the "from" state) and the other relating to the waiver (the "to" state). ICF based incentives could include the following:</w:t>
      </w:r>
    </w:p>
    <w:p w:rsidR="00042CCC" w:rsidRPr="00042CCC" w:rsidRDefault="00042CCC" w:rsidP="001424B5">
      <w:pPr>
        <w:rPr>
          <w:rFonts w:asciiTheme="majorHAnsi" w:hAnsiTheme="majorHAnsi"/>
          <w:b/>
          <w:sz w:val="28"/>
          <w:szCs w:val="28"/>
        </w:rPr>
      </w:pPr>
    </w:p>
    <w:p w:rsidR="00347574" w:rsidRDefault="001424B5" w:rsidP="001424B5">
      <w:pPr>
        <w:pStyle w:val="ListParagraph"/>
        <w:numPr>
          <w:ilvl w:val="0"/>
          <w:numId w:val="1"/>
        </w:numPr>
        <w:rPr>
          <w:rFonts w:asciiTheme="majorHAnsi" w:hAnsiTheme="majorHAnsi"/>
          <w:b/>
        </w:rPr>
      </w:pPr>
      <w:r w:rsidRPr="00347574">
        <w:rPr>
          <w:rFonts w:asciiTheme="majorHAnsi" w:hAnsiTheme="majorHAnsi"/>
          <w:b/>
          <w:strike/>
          <w:u w:val="single"/>
        </w:rPr>
        <w:t>Capital Considerations</w:t>
      </w:r>
      <w:r w:rsidRPr="00347574">
        <w:rPr>
          <w:rFonts w:asciiTheme="majorHAnsi" w:hAnsiTheme="majorHAnsi"/>
          <w:b/>
          <w:strike/>
        </w:rPr>
        <w:t>:  Including but not limited to existing loans, the costs of downsizing (both from a new facility perspective as well as the increased costs of an existing facility), the need for accessibility features in new homes, the cost of sprinklers needed to address individual needs, the difficulty in finding lots on which to  build, etc.</w:t>
      </w:r>
      <w:r w:rsidRPr="00B16210">
        <w:rPr>
          <w:rFonts w:asciiTheme="majorHAnsi" w:hAnsiTheme="majorHAnsi"/>
          <w:b/>
        </w:rPr>
        <w:t xml:space="preserve"> </w:t>
      </w:r>
    </w:p>
    <w:p w:rsidR="00347574" w:rsidRDefault="00347574" w:rsidP="00347574">
      <w:pPr>
        <w:pStyle w:val="ListParagraph"/>
        <w:ind w:left="360"/>
        <w:rPr>
          <w:rFonts w:asciiTheme="majorHAnsi" w:hAnsiTheme="majorHAnsi"/>
          <w:b/>
          <w:color w:val="FF0000"/>
        </w:rPr>
      </w:pPr>
      <w:r>
        <w:rPr>
          <w:rFonts w:asciiTheme="majorHAnsi" w:hAnsiTheme="majorHAnsi"/>
          <w:b/>
          <w:color w:val="FF0000"/>
          <w:u w:val="single"/>
        </w:rPr>
        <w:t>ICF Reimbursement Incentives</w:t>
      </w:r>
      <w:r>
        <w:rPr>
          <w:rFonts w:asciiTheme="majorHAnsi" w:hAnsiTheme="majorHAnsi"/>
          <w:b/>
          <w:color w:val="FF0000"/>
        </w:rPr>
        <w:t>:</w:t>
      </w:r>
      <w:r w:rsidR="002268E1">
        <w:rPr>
          <w:rFonts w:asciiTheme="majorHAnsi" w:hAnsiTheme="majorHAnsi"/>
          <w:b/>
          <w:color w:val="FF0000"/>
        </w:rPr>
        <w:t xml:space="preserve"> The following incentives should be funded outside of any statewide mean cap on ICF rates.</w:t>
      </w:r>
    </w:p>
    <w:p w:rsidR="00347574" w:rsidRDefault="00347574" w:rsidP="00347574">
      <w:pPr>
        <w:pStyle w:val="ListParagraph"/>
        <w:ind w:left="360"/>
        <w:rPr>
          <w:rFonts w:asciiTheme="majorHAnsi" w:hAnsiTheme="majorHAnsi"/>
          <w:b/>
          <w:color w:val="FF0000"/>
        </w:rPr>
      </w:pPr>
    </w:p>
    <w:p w:rsidR="00347574" w:rsidRDefault="00347574" w:rsidP="00347574">
      <w:pPr>
        <w:pStyle w:val="ListParagraph"/>
        <w:ind w:hanging="360"/>
        <w:rPr>
          <w:rFonts w:asciiTheme="majorHAnsi" w:hAnsiTheme="majorHAnsi"/>
          <w:b/>
          <w:color w:val="FF0000"/>
        </w:rPr>
      </w:pPr>
      <w:r>
        <w:rPr>
          <w:rFonts w:asciiTheme="majorHAnsi" w:hAnsiTheme="majorHAnsi"/>
          <w:b/>
          <w:color w:val="FF0000"/>
        </w:rPr>
        <w:t>a.</w:t>
      </w:r>
      <w:r>
        <w:rPr>
          <w:rFonts w:asciiTheme="majorHAnsi" w:hAnsiTheme="majorHAnsi"/>
          <w:b/>
          <w:color w:val="FF0000"/>
        </w:rPr>
        <w:tab/>
      </w:r>
      <w:r w:rsidR="00B55D8A">
        <w:rPr>
          <w:rFonts w:asciiTheme="majorHAnsi" w:hAnsiTheme="majorHAnsi"/>
          <w:b/>
          <w:color w:val="FF0000"/>
          <w:u w:val="single"/>
        </w:rPr>
        <w:t>Expand Three Month Cost Report</w:t>
      </w:r>
      <w:r w:rsidR="00B55D8A">
        <w:rPr>
          <w:rFonts w:asciiTheme="majorHAnsi" w:hAnsiTheme="majorHAnsi"/>
          <w:b/>
          <w:color w:val="FF0000"/>
        </w:rPr>
        <w:t xml:space="preserve">: </w:t>
      </w:r>
      <w:r>
        <w:rPr>
          <w:rFonts w:asciiTheme="majorHAnsi" w:hAnsiTheme="majorHAnsi"/>
          <w:b/>
          <w:color w:val="FF0000"/>
        </w:rPr>
        <w:t xml:space="preserve">ICF operators have capital (e.g., mortgage) costs that cannot be paid when a portion of a facility's beds are converted. While the three month cost report provision helps with this problem, the ceiling also should be </w:t>
      </w:r>
      <w:r w:rsidR="0034314F">
        <w:rPr>
          <w:rFonts w:asciiTheme="majorHAnsi" w:hAnsiTheme="majorHAnsi"/>
          <w:b/>
          <w:color w:val="FF0000"/>
        </w:rPr>
        <w:t>waived</w:t>
      </w:r>
      <w:r>
        <w:rPr>
          <w:rFonts w:asciiTheme="majorHAnsi" w:hAnsiTheme="majorHAnsi"/>
          <w:b/>
          <w:color w:val="FF0000"/>
        </w:rPr>
        <w:t xml:space="preserve"> in conversion situations.</w:t>
      </w:r>
    </w:p>
    <w:p w:rsidR="00347574" w:rsidRDefault="00347574" w:rsidP="00347574">
      <w:pPr>
        <w:pStyle w:val="ListParagraph"/>
        <w:ind w:hanging="360"/>
        <w:rPr>
          <w:rFonts w:asciiTheme="majorHAnsi" w:hAnsiTheme="majorHAnsi"/>
          <w:b/>
          <w:color w:val="FF0000"/>
        </w:rPr>
      </w:pPr>
    </w:p>
    <w:p w:rsidR="001A09F5" w:rsidRDefault="00347574" w:rsidP="00347574">
      <w:pPr>
        <w:pStyle w:val="ListParagraph"/>
        <w:ind w:hanging="360"/>
        <w:rPr>
          <w:rFonts w:asciiTheme="majorHAnsi" w:hAnsiTheme="majorHAnsi"/>
          <w:b/>
          <w:color w:val="FF0000"/>
        </w:rPr>
      </w:pPr>
      <w:r>
        <w:rPr>
          <w:rFonts w:asciiTheme="majorHAnsi" w:hAnsiTheme="majorHAnsi"/>
          <w:b/>
          <w:color w:val="FF0000"/>
        </w:rPr>
        <w:t>b.</w:t>
      </w:r>
      <w:r>
        <w:rPr>
          <w:rFonts w:asciiTheme="majorHAnsi" w:hAnsiTheme="majorHAnsi"/>
          <w:b/>
          <w:color w:val="FF0000"/>
        </w:rPr>
        <w:tab/>
      </w:r>
      <w:r w:rsidR="00B55D8A">
        <w:rPr>
          <w:rFonts w:asciiTheme="majorHAnsi" w:hAnsiTheme="majorHAnsi"/>
          <w:b/>
          <w:color w:val="FF0000"/>
          <w:u w:val="single"/>
        </w:rPr>
        <w:t>Case Mix Score</w:t>
      </w:r>
      <w:r w:rsidR="00B55D8A">
        <w:rPr>
          <w:rFonts w:asciiTheme="majorHAnsi" w:hAnsiTheme="majorHAnsi"/>
          <w:b/>
          <w:color w:val="FF0000"/>
        </w:rPr>
        <w:t xml:space="preserve">: </w:t>
      </w:r>
      <w:r>
        <w:rPr>
          <w:rFonts w:asciiTheme="majorHAnsi" w:hAnsiTheme="majorHAnsi"/>
          <w:b/>
          <w:color w:val="FF0000"/>
        </w:rPr>
        <w:t>A retroactive adjustment to the remaining ICF's case mix score should be permitted when lower acuity individuals move out through a conversion.</w:t>
      </w:r>
    </w:p>
    <w:p w:rsidR="001A09F5" w:rsidRDefault="001A09F5" w:rsidP="00347574">
      <w:pPr>
        <w:pStyle w:val="ListParagraph"/>
        <w:ind w:hanging="360"/>
        <w:rPr>
          <w:rFonts w:asciiTheme="majorHAnsi" w:hAnsiTheme="majorHAnsi"/>
          <w:b/>
          <w:color w:val="FF0000"/>
        </w:rPr>
      </w:pPr>
    </w:p>
    <w:p w:rsidR="001A09F5" w:rsidRDefault="001A09F5" w:rsidP="00347574">
      <w:pPr>
        <w:pStyle w:val="ListParagraph"/>
        <w:ind w:hanging="360"/>
        <w:rPr>
          <w:rFonts w:asciiTheme="majorHAnsi" w:hAnsiTheme="majorHAnsi"/>
          <w:b/>
          <w:color w:val="FF0000"/>
        </w:rPr>
      </w:pPr>
      <w:r>
        <w:rPr>
          <w:rFonts w:asciiTheme="majorHAnsi" w:hAnsiTheme="majorHAnsi"/>
          <w:b/>
          <w:color w:val="FF0000"/>
        </w:rPr>
        <w:t>c.</w:t>
      </w:r>
      <w:r>
        <w:rPr>
          <w:rFonts w:asciiTheme="majorHAnsi" w:hAnsiTheme="majorHAnsi"/>
          <w:b/>
          <w:color w:val="FF0000"/>
        </w:rPr>
        <w:tab/>
      </w:r>
      <w:r>
        <w:rPr>
          <w:rFonts w:asciiTheme="majorHAnsi" w:hAnsiTheme="majorHAnsi"/>
          <w:b/>
          <w:color w:val="FF0000"/>
          <w:u w:val="single"/>
        </w:rPr>
        <w:t>Non-Extensive Renovations</w:t>
      </w:r>
      <w:r>
        <w:rPr>
          <w:rFonts w:asciiTheme="majorHAnsi" w:hAnsiTheme="majorHAnsi"/>
          <w:b/>
          <w:color w:val="FF0000"/>
        </w:rPr>
        <w:t>: Expedite decisions on renovations associated with downsizing or conversion.</w:t>
      </w:r>
    </w:p>
    <w:p w:rsidR="00347574" w:rsidRPr="00347574" w:rsidRDefault="00347574" w:rsidP="001A09F5">
      <w:pPr>
        <w:pStyle w:val="ListParagraph"/>
        <w:ind w:hanging="360"/>
        <w:rPr>
          <w:rFonts w:asciiTheme="majorHAnsi" w:hAnsiTheme="majorHAnsi"/>
          <w:b/>
          <w:color w:val="FF0000"/>
        </w:rPr>
      </w:pPr>
      <w:r>
        <w:rPr>
          <w:rFonts w:asciiTheme="majorHAnsi" w:hAnsiTheme="majorHAnsi"/>
          <w:b/>
          <w:color w:val="FF0000"/>
        </w:rPr>
        <w:t xml:space="preserve"> </w:t>
      </w:r>
    </w:p>
    <w:p w:rsidR="00B55D8A" w:rsidRPr="00B55D8A" w:rsidRDefault="00B55D8A" w:rsidP="001424B5">
      <w:pPr>
        <w:pStyle w:val="ListParagraph"/>
        <w:numPr>
          <w:ilvl w:val="0"/>
          <w:numId w:val="1"/>
        </w:numPr>
        <w:rPr>
          <w:rFonts w:asciiTheme="majorHAnsi" w:hAnsiTheme="majorHAnsi"/>
          <w:b/>
        </w:rPr>
      </w:pPr>
      <w:r w:rsidRPr="00B55D8A">
        <w:rPr>
          <w:rFonts w:asciiTheme="majorHAnsi" w:hAnsiTheme="majorHAnsi"/>
          <w:b/>
          <w:color w:val="FF0000"/>
          <w:u w:val="single"/>
        </w:rPr>
        <w:t>Capital Program</w:t>
      </w:r>
      <w:r>
        <w:rPr>
          <w:rFonts w:asciiTheme="majorHAnsi" w:hAnsiTheme="majorHAnsi"/>
          <w:b/>
          <w:color w:val="FF0000"/>
          <w:u w:val="single"/>
        </w:rPr>
        <w:t xml:space="preserve"> for Converting Entire ICFs</w:t>
      </w:r>
      <w:r w:rsidRPr="00B55D8A">
        <w:rPr>
          <w:rFonts w:asciiTheme="majorHAnsi" w:hAnsiTheme="majorHAnsi"/>
          <w:b/>
          <w:color w:val="FF0000"/>
        </w:rPr>
        <w:t xml:space="preserve">: </w:t>
      </w:r>
    </w:p>
    <w:p w:rsidR="00B55D8A" w:rsidRPr="00B55D8A" w:rsidRDefault="00B55D8A" w:rsidP="00B55D8A">
      <w:pPr>
        <w:pStyle w:val="ListParagraph"/>
        <w:ind w:left="360"/>
        <w:rPr>
          <w:rFonts w:asciiTheme="majorHAnsi" w:hAnsiTheme="majorHAnsi"/>
          <w:b/>
        </w:rPr>
      </w:pPr>
    </w:p>
    <w:p w:rsidR="001424B5" w:rsidRDefault="00B55D8A" w:rsidP="00B55D8A">
      <w:pPr>
        <w:pStyle w:val="ListParagraph"/>
        <w:numPr>
          <w:ilvl w:val="1"/>
          <w:numId w:val="1"/>
        </w:numPr>
        <w:ind w:left="720"/>
        <w:rPr>
          <w:rFonts w:asciiTheme="majorHAnsi" w:hAnsiTheme="majorHAnsi"/>
          <w:b/>
        </w:rPr>
      </w:pPr>
      <w:proofErr w:type="spellStart"/>
      <w:r>
        <w:rPr>
          <w:rFonts w:asciiTheme="majorHAnsi" w:hAnsiTheme="majorHAnsi"/>
          <w:b/>
          <w:color w:val="FF0000"/>
          <w:u w:val="single"/>
        </w:rPr>
        <w:t>Assistanced</w:t>
      </w:r>
      <w:proofErr w:type="spellEnd"/>
      <w:r>
        <w:rPr>
          <w:rFonts w:asciiTheme="majorHAnsi" w:hAnsiTheme="majorHAnsi"/>
          <w:b/>
          <w:color w:val="FF0000"/>
          <w:u w:val="single"/>
        </w:rPr>
        <w:t xml:space="preserve"> With Sunk Costs</w:t>
      </w:r>
      <w:r>
        <w:rPr>
          <w:rFonts w:asciiTheme="majorHAnsi" w:hAnsiTheme="majorHAnsi"/>
          <w:b/>
          <w:color w:val="FF0000"/>
        </w:rPr>
        <w:t xml:space="preserve">: </w:t>
      </w:r>
      <w:r w:rsidRPr="00B55D8A">
        <w:rPr>
          <w:rFonts w:asciiTheme="majorHAnsi" w:hAnsiTheme="majorHAnsi"/>
          <w:b/>
          <w:color w:val="FF0000"/>
        </w:rPr>
        <w:t xml:space="preserve">When an entire ICF is converted, the recommendations in #5 do not help. </w:t>
      </w:r>
      <w:r w:rsidR="001424B5" w:rsidRPr="00B55D8A">
        <w:rPr>
          <w:rFonts w:asciiTheme="majorHAnsi" w:hAnsiTheme="majorHAnsi"/>
          <w:b/>
        </w:rPr>
        <w:t xml:space="preserve">We recommend that DODD commit </w:t>
      </w:r>
      <w:r>
        <w:rPr>
          <w:rFonts w:asciiTheme="majorHAnsi" w:hAnsiTheme="majorHAnsi"/>
          <w:b/>
          <w:color w:val="FF0000"/>
        </w:rPr>
        <w:t>non-Medicaid</w:t>
      </w:r>
      <w:r>
        <w:rPr>
          <w:rFonts w:asciiTheme="majorHAnsi" w:hAnsiTheme="majorHAnsi"/>
          <w:b/>
        </w:rPr>
        <w:t xml:space="preserve"> </w:t>
      </w:r>
      <w:r w:rsidR="001424B5" w:rsidRPr="00B55D8A">
        <w:rPr>
          <w:rFonts w:asciiTheme="majorHAnsi" w:hAnsiTheme="majorHAnsi"/>
          <w:b/>
        </w:rPr>
        <w:t xml:space="preserve">funds (as determined in #1.) over the next biennium to provide debt relief </w:t>
      </w:r>
      <w:r w:rsidR="001424B5" w:rsidRPr="00B55D8A">
        <w:rPr>
          <w:rFonts w:asciiTheme="majorHAnsi" w:hAnsiTheme="majorHAnsi"/>
          <w:b/>
          <w:strike/>
        </w:rPr>
        <w:t>and buy</w:t>
      </w:r>
      <w:r w:rsidR="001424B5" w:rsidRPr="00B55D8A">
        <w:rPr>
          <w:rFonts w:asciiTheme="majorHAnsi" w:hAnsiTheme="majorHAnsi"/>
          <w:b/>
        </w:rPr>
        <w:t xml:space="preserve"> </w:t>
      </w:r>
      <w:r>
        <w:rPr>
          <w:rFonts w:asciiTheme="majorHAnsi" w:hAnsiTheme="majorHAnsi"/>
          <w:b/>
          <w:color w:val="FF0000"/>
        </w:rPr>
        <w:t>such as through buying</w:t>
      </w:r>
      <w:r>
        <w:rPr>
          <w:rFonts w:asciiTheme="majorHAnsi" w:hAnsiTheme="majorHAnsi"/>
          <w:b/>
        </w:rPr>
        <w:t xml:space="preserve"> </w:t>
      </w:r>
      <w:r w:rsidR="001424B5" w:rsidRPr="00B55D8A">
        <w:rPr>
          <w:rFonts w:asciiTheme="majorHAnsi" w:hAnsiTheme="majorHAnsi"/>
          <w:b/>
        </w:rPr>
        <w:t>back beds.</w:t>
      </w:r>
      <w:r>
        <w:rPr>
          <w:rFonts w:asciiTheme="majorHAnsi" w:hAnsiTheme="majorHAnsi"/>
          <w:b/>
        </w:rPr>
        <w:t xml:space="preserve"> </w:t>
      </w:r>
    </w:p>
    <w:p w:rsidR="00B55D8A" w:rsidRDefault="00B55D8A" w:rsidP="00B55D8A">
      <w:pPr>
        <w:pStyle w:val="ListParagraph"/>
        <w:rPr>
          <w:rFonts w:asciiTheme="majorHAnsi" w:hAnsiTheme="majorHAnsi"/>
          <w:b/>
        </w:rPr>
      </w:pPr>
    </w:p>
    <w:p w:rsidR="00B55D8A" w:rsidRPr="007F5483" w:rsidRDefault="00B55D8A" w:rsidP="00B55D8A">
      <w:pPr>
        <w:pStyle w:val="ListParagraph"/>
        <w:numPr>
          <w:ilvl w:val="1"/>
          <w:numId w:val="1"/>
        </w:numPr>
        <w:ind w:left="720"/>
        <w:rPr>
          <w:rFonts w:asciiTheme="majorHAnsi" w:hAnsiTheme="majorHAnsi"/>
          <w:b/>
          <w:color w:val="FF0000"/>
        </w:rPr>
      </w:pPr>
      <w:r w:rsidRPr="007F5483">
        <w:rPr>
          <w:rFonts w:asciiTheme="majorHAnsi" w:hAnsiTheme="majorHAnsi"/>
          <w:b/>
          <w:color w:val="FF0000"/>
          <w:u w:val="single"/>
        </w:rPr>
        <w:t>Prioritize Most Non-Integrated Settings:</w:t>
      </w:r>
      <w:r w:rsidRPr="007F5483">
        <w:rPr>
          <w:rFonts w:asciiTheme="majorHAnsi" w:hAnsiTheme="majorHAnsi"/>
          <w:b/>
          <w:color w:val="FF0000"/>
        </w:rPr>
        <w:t xml:space="preserve"> There are settings such as those attached to nursing facilities, that would like to convert but don’t have the resources to do so. We recommend that DODD begin with these facilities as a way of demonstrating reform. This will also provide additional cost and programmatic data that can be used in further efforts. Beds could </w:t>
      </w:r>
      <w:r w:rsidR="0034314F">
        <w:rPr>
          <w:rFonts w:asciiTheme="majorHAnsi" w:hAnsiTheme="majorHAnsi"/>
          <w:b/>
          <w:color w:val="FF0000"/>
        </w:rPr>
        <w:t xml:space="preserve">be </w:t>
      </w:r>
      <w:r w:rsidRPr="007F5483">
        <w:rPr>
          <w:rFonts w:asciiTheme="majorHAnsi" w:hAnsiTheme="majorHAnsi"/>
          <w:b/>
          <w:color w:val="FF0000"/>
        </w:rPr>
        <w:t>purchased outright or the facilities re-purposed.</w:t>
      </w:r>
    </w:p>
    <w:p w:rsidR="00EF12C5" w:rsidRDefault="00EF12C5" w:rsidP="00EF12C5">
      <w:pPr>
        <w:pStyle w:val="ListParagraph"/>
        <w:ind w:left="360"/>
        <w:rPr>
          <w:rFonts w:asciiTheme="majorHAnsi" w:hAnsiTheme="majorHAnsi"/>
          <w:b/>
        </w:rPr>
      </w:pPr>
    </w:p>
    <w:p w:rsidR="00EF12C5" w:rsidRPr="002E1EF9" w:rsidRDefault="00EF12C5" w:rsidP="00EF12C5">
      <w:pPr>
        <w:pStyle w:val="ListParagraph"/>
        <w:numPr>
          <w:ilvl w:val="0"/>
          <w:numId w:val="1"/>
        </w:numPr>
        <w:rPr>
          <w:rFonts w:asciiTheme="majorHAnsi" w:hAnsiTheme="majorHAnsi"/>
          <w:b/>
          <w:u w:val="single"/>
        </w:rPr>
      </w:pPr>
      <w:r>
        <w:rPr>
          <w:rFonts w:asciiTheme="majorHAnsi" w:hAnsiTheme="majorHAnsi"/>
          <w:b/>
          <w:u w:val="single"/>
        </w:rPr>
        <w:t>Development Rule:</w:t>
      </w:r>
      <w:r>
        <w:rPr>
          <w:rFonts w:asciiTheme="majorHAnsi" w:hAnsiTheme="majorHAnsi"/>
        </w:rPr>
        <w:t xml:space="preserve"> </w:t>
      </w:r>
      <w:r>
        <w:rPr>
          <w:rFonts w:asciiTheme="majorHAnsi" w:hAnsiTheme="majorHAnsi"/>
          <w:b/>
        </w:rPr>
        <w:t>As currently written, Development Rule approval is obtained through a subjective, group review process. We recommend that definitive conditions be outlined in the rule so as to expedite approval of conversion and downsizing proposals</w:t>
      </w:r>
      <w:r w:rsidR="00B55D8A">
        <w:rPr>
          <w:rFonts w:asciiTheme="majorHAnsi" w:hAnsiTheme="majorHAnsi"/>
          <w:b/>
        </w:rPr>
        <w:t xml:space="preserve"> </w:t>
      </w:r>
      <w:r w:rsidR="00B55D8A">
        <w:rPr>
          <w:rFonts w:asciiTheme="majorHAnsi" w:hAnsiTheme="majorHAnsi"/>
          <w:b/>
          <w:color w:val="FF0000"/>
        </w:rPr>
        <w:t>and simplify planning by interested providers</w:t>
      </w:r>
      <w:r>
        <w:rPr>
          <w:rFonts w:asciiTheme="majorHAnsi" w:hAnsiTheme="majorHAnsi"/>
          <w:b/>
        </w:rPr>
        <w:t>.</w:t>
      </w:r>
    </w:p>
    <w:p w:rsidR="001424B5" w:rsidRPr="00EF12C5" w:rsidRDefault="001424B5" w:rsidP="00EF12C5">
      <w:pPr>
        <w:rPr>
          <w:rFonts w:asciiTheme="majorHAnsi" w:hAnsiTheme="majorHAnsi"/>
          <w:b/>
        </w:rPr>
      </w:pPr>
    </w:p>
    <w:p w:rsidR="001424B5" w:rsidRPr="00B55D8A" w:rsidRDefault="001424B5" w:rsidP="007F5483">
      <w:pPr>
        <w:pStyle w:val="ListParagraph"/>
        <w:ind w:left="360"/>
        <w:rPr>
          <w:rFonts w:asciiTheme="majorHAnsi" w:hAnsiTheme="majorHAnsi"/>
          <w:b/>
          <w:strike/>
        </w:rPr>
      </w:pPr>
      <w:r w:rsidRPr="00B55D8A">
        <w:rPr>
          <w:rFonts w:asciiTheme="majorHAnsi" w:hAnsiTheme="majorHAnsi"/>
          <w:b/>
          <w:strike/>
          <w:u w:val="single"/>
        </w:rPr>
        <w:t>Prioritize Most Non-Integrated Settings:</w:t>
      </w:r>
      <w:r w:rsidRPr="00B55D8A">
        <w:rPr>
          <w:rFonts w:asciiTheme="majorHAnsi" w:hAnsiTheme="majorHAnsi"/>
          <w:b/>
          <w:strike/>
        </w:rPr>
        <w:t xml:space="preserve"> There are settings such as those attached to nursing facilities, that would like to convert but don’t have the resources to do so. We recommend that DODD begin with these facilities as a way of demonstrating reform. This will also provide additional cost and programmatic data that can be used in further efforts. Beds could purchased outright or the facilities re-purposed. </w:t>
      </w:r>
    </w:p>
    <w:p w:rsidR="00EF12C5" w:rsidRPr="00EF12C5" w:rsidRDefault="00EF12C5" w:rsidP="00EF12C5">
      <w:pPr>
        <w:pStyle w:val="ListParagraph"/>
        <w:rPr>
          <w:rFonts w:asciiTheme="majorHAnsi" w:hAnsiTheme="majorHAnsi"/>
          <w:b/>
        </w:rPr>
      </w:pPr>
    </w:p>
    <w:p w:rsidR="001424B5" w:rsidRPr="00B55D8A" w:rsidRDefault="001424B5" w:rsidP="007F5483">
      <w:pPr>
        <w:pStyle w:val="ListParagraph"/>
        <w:ind w:left="360"/>
        <w:rPr>
          <w:rFonts w:asciiTheme="majorHAnsi" w:hAnsiTheme="majorHAnsi"/>
          <w:b/>
          <w:strike/>
        </w:rPr>
      </w:pPr>
      <w:r w:rsidRPr="00B55D8A">
        <w:rPr>
          <w:rFonts w:asciiTheme="majorHAnsi" w:hAnsiTheme="majorHAnsi"/>
          <w:b/>
          <w:strike/>
          <w:u w:val="single"/>
        </w:rPr>
        <w:t xml:space="preserve">Provider Tax: </w:t>
      </w:r>
      <w:r w:rsidRPr="00B55D8A">
        <w:rPr>
          <w:rFonts w:asciiTheme="majorHAnsi" w:hAnsiTheme="majorHAnsi"/>
          <w:b/>
          <w:strike/>
        </w:rPr>
        <w:t xml:space="preserve">We would like to see all funds generated via the bed tax used for ICF downsizing/conversion efforts. </w:t>
      </w:r>
    </w:p>
    <w:p w:rsidR="001424B5" w:rsidRPr="000778E1" w:rsidRDefault="001424B5" w:rsidP="001424B5">
      <w:pPr>
        <w:pStyle w:val="ListParagraph"/>
        <w:rPr>
          <w:rFonts w:asciiTheme="majorHAnsi" w:hAnsiTheme="majorHAnsi"/>
          <w:b/>
        </w:rPr>
      </w:pPr>
    </w:p>
    <w:p w:rsidR="00F04FD7" w:rsidRPr="00F04FD7" w:rsidRDefault="00F04FD7" w:rsidP="001424B5">
      <w:pPr>
        <w:pStyle w:val="ListParagraph"/>
        <w:numPr>
          <w:ilvl w:val="0"/>
          <w:numId w:val="1"/>
        </w:numPr>
        <w:rPr>
          <w:rFonts w:asciiTheme="majorHAnsi" w:hAnsiTheme="majorHAnsi"/>
          <w:b/>
          <w:u w:val="single"/>
        </w:rPr>
      </w:pPr>
      <w:r>
        <w:rPr>
          <w:rFonts w:asciiTheme="majorHAnsi" w:hAnsiTheme="majorHAnsi"/>
          <w:b/>
          <w:color w:val="FF0000"/>
          <w:u w:val="single"/>
        </w:rPr>
        <w:t>Licensure/Certification Surveys</w:t>
      </w:r>
      <w:r>
        <w:rPr>
          <w:rFonts w:asciiTheme="majorHAnsi" w:hAnsiTheme="majorHAnsi"/>
          <w:b/>
          <w:color w:val="FF0000"/>
        </w:rPr>
        <w:t>: We recommend expediting surveys to reduce the risk of developing new, smaller settings</w:t>
      </w:r>
      <w:r w:rsidR="00EE3FAA">
        <w:rPr>
          <w:rFonts w:asciiTheme="majorHAnsi" w:hAnsiTheme="majorHAnsi"/>
          <w:b/>
          <w:color w:val="FF0000"/>
        </w:rPr>
        <w:t xml:space="preserve"> via downsizing or conversion.</w:t>
      </w:r>
    </w:p>
    <w:p w:rsidR="00F04FD7" w:rsidRPr="00F04FD7" w:rsidRDefault="00F04FD7" w:rsidP="00F04FD7">
      <w:pPr>
        <w:pStyle w:val="ListParagraph"/>
        <w:ind w:left="360"/>
        <w:rPr>
          <w:rFonts w:asciiTheme="majorHAnsi" w:hAnsiTheme="majorHAnsi"/>
          <w:b/>
          <w:u w:val="single"/>
        </w:rPr>
      </w:pPr>
    </w:p>
    <w:p w:rsidR="00B55D8A" w:rsidRPr="00B55D8A" w:rsidRDefault="001424B5" w:rsidP="001424B5">
      <w:pPr>
        <w:pStyle w:val="ListParagraph"/>
        <w:numPr>
          <w:ilvl w:val="0"/>
          <w:numId w:val="1"/>
        </w:numPr>
        <w:rPr>
          <w:rFonts w:asciiTheme="majorHAnsi" w:hAnsiTheme="majorHAnsi"/>
          <w:b/>
          <w:u w:val="single"/>
        </w:rPr>
      </w:pPr>
      <w:r w:rsidRPr="00B55D8A">
        <w:rPr>
          <w:rFonts w:asciiTheme="majorHAnsi" w:hAnsiTheme="majorHAnsi"/>
          <w:b/>
          <w:strike/>
          <w:u w:val="single"/>
        </w:rPr>
        <w:t xml:space="preserve">ICF Rates: </w:t>
      </w:r>
      <w:r>
        <w:rPr>
          <w:rFonts w:asciiTheme="majorHAnsi" w:hAnsiTheme="majorHAnsi"/>
          <w:b/>
        </w:rPr>
        <w:t xml:space="preserve"> </w:t>
      </w:r>
      <w:r w:rsidR="00B55D8A">
        <w:rPr>
          <w:rFonts w:asciiTheme="majorHAnsi" w:hAnsiTheme="majorHAnsi"/>
          <w:b/>
          <w:color w:val="FF0000"/>
          <w:u w:val="single"/>
        </w:rPr>
        <w:t>Other ICF Rate Recommendations</w:t>
      </w:r>
      <w:r w:rsidR="00B55D8A">
        <w:rPr>
          <w:rFonts w:asciiTheme="majorHAnsi" w:hAnsiTheme="majorHAnsi"/>
          <w:b/>
          <w:color w:val="FF0000"/>
        </w:rPr>
        <w:t>:</w:t>
      </w:r>
    </w:p>
    <w:p w:rsidR="00B55D8A" w:rsidRPr="00B55D8A" w:rsidRDefault="00B55D8A" w:rsidP="00B55D8A">
      <w:pPr>
        <w:pStyle w:val="ListParagraph"/>
        <w:ind w:left="360"/>
        <w:rPr>
          <w:rFonts w:asciiTheme="majorHAnsi" w:hAnsiTheme="majorHAnsi"/>
          <w:b/>
          <w:u w:val="single"/>
        </w:rPr>
      </w:pPr>
    </w:p>
    <w:p w:rsidR="001424B5" w:rsidRPr="000778E1" w:rsidRDefault="00B55D8A" w:rsidP="00B55D8A">
      <w:pPr>
        <w:pStyle w:val="ListParagraph"/>
        <w:numPr>
          <w:ilvl w:val="1"/>
          <w:numId w:val="1"/>
        </w:numPr>
        <w:ind w:left="720"/>
        <w:rPr>
          <w:rFonts w:asciiTheme="majorHAnsi" w:hAnsiTheme="majorHAnsi"/>
          <w:b/>
          <w:u w:val="single"/>
        </w:rPr>
      </w:pPr>
      <w:r>
        <w:rPr>
          <w:rFonts w:asciiTheme="majorHAnsi" w:hAnsiTheme="majorHAnsi"/>
          <w:b/>
          <w:color w:val="FF0000"/>
          <w:u w:val="single"/>
        </w:rPr>
        <w:t>ICF Rates</w:t>
      </w:r>
      <w:r>
        <w:rPr>
          <w:rFonts w:asciiTheme="majorHAnsi" w:hAnsiTheme="majorHAnsi"/>
          <w:b/>
          <w:color w:val="FF0000"/>
        </w:rPr>
        <w:t xml:space="preserve">: On the whole, ICF rates have been stagnant for many years, which in addition to not recognizing increased operating costs is inconsistent with the philosophy of moving ICFs to a higher acuity model. </w:t>
      </w:r>
      <w:r w:rsidR="001424B5">
        <w:rPr>
          <w:rFonts w:asciiTheme="majorHAnsi" w:hAnsiTheme="majorHAnsi"/>
          <w:b/>
        </w:rPr>
        <w:t>We would like to see a portion of the dollars saved as the result of conversions targeted back to the ICF program for a rate increase.</w:t>
      </w:r>
    </w:p>
    <w:p w:rsidR="001424B5" w:rsidRPr="00FD616D" w:rsidRDefault="001424B5" w:rsidP="001424B5">
      <w:pPr>
        <w:pStyle w:val="ListParagraph"/>
        <w:rPr>
          <w:rFonts w:asciiTheme="majorHAnsi" w:hAnsiTheme="majorHAnsi"/>
          <w:b/>
          <w:u w:val="single"/>
        </w:rPr>
      </w:pPr>
    </w:p>
    <w:p w:rsidR="001424B5" w:rsidRPr="002E1EF9" w:rsidRDefault="001424B5" w:rsidP="00584143">
      <w:pPr>
        <w:pStyle w:val="ListParagraph"/>
        <w:numPr>
          <w:ilvl w:val="1"/>
          <w:numId w:val="1"/>
        </w:numPr>
        <w:ind w:left="720"/>
        <w:rPr>
          <w:rFonts w:asciiTheme="majorHAnsi" w:hAnsiTheme="majorHAnsi"/>
          <w:b/>
          <w:u w:val="single"/>
        </w:rPr>
      </w:pPr>
      <w:r>
        <w:rPr>
          <w:rFonts w:asciiTheme="majorHAnsi" w:hAnsiTheme="majorHAnsi"/>
          <w:b/>
          <w:u w:val="single"/>
        </w:rPr>
        <w:t>Active Treatment Rate:</w:t>
      </w:r>
      <w:r>
        <w:rPr>
          <w:rFonts w:asciiTheme="majorHAnsi" w:hAnsiTheme="majorHAnsi"/>
        </w:rPr>
        <w:t xml:space="preserve"> </w:t>
      </w:r>
      <w:r w:rsidRPr="00FD616D">
        <w:rPr>
          <w:rFonts w:asciiTheme="majorHAnsi" w:hAnsiTheme="majorHAnsi"/>
          <w:b/>
        </w:rPr>
        <w:t>As the active</w:t>
      </w:r>
      <w:r>
        <w:rPr>
          <w:rFonts w:asciiTheme="majorHAnsi" w:hAnsiTheme="majorHAnsi"/>
          <w:b/>
        </w:rPr>
        <w:t xml:space="preserve"> treatment rate is lower than the HCBS day services/employment rate, it results in individuals being provided day services/supports in less integrated settings. We recommend that the active treatment rate mirror that of HCBS, so that individuals will have the opportunity to choose between more willing providers.</w:t>
      </w:r>
    </w:p>
    <w:p w:rsidR="00EF12C5" w:rsidRDefault="00EF12C5" w:rsidP="00EF12C5">
      <w:pPr>
        <w:rPr>
          <w:rFonts w:asciiTheme="majorHAnsi" w:hAnsiTheme="majorHAnsi"/>
          <w:b/>
          <w:sz w:val="28"/>
          <w:szCs w:val="28"/>
        </w:rPr>
      </w:pPr>
    </w:p>
    <w:p w:rsidR="001424B5" w:rsidRPr="00584143" w:rsidRDefault="00EF12C5" w:rsidP="00EF12C5">
      <w:pPr>
        <w:rPr>
          <w:rFonts w:asciiTheme="majorHAnsi" w:hAnsiTheme="majorHAnsi"/>
          <w:b/>
          <w:color w:val="FF0000"/>
          <w:sz w:val="28"/>
          <w:szCs w:val="28"/>
        </w:rPr>
      </w:pPr>
      <w:r w:rsidRPr="00584143">
        <w:rPr>
          <w:rFonts w:asciiTheme="majorHAnsi" w:hAnsiTheme="majorHAnsi"/>
          <w:b/>
          <w:strike/>
          <w:sz w:val="28"/>
          <w:szCs w:val="28"/>
        </w:rPr>
        <w:t>Transition Policy Considerations</w:t>
      </w:r>
      <w:r w:rsidR="00584143" w:rsidRPr="00584143">
        <w:rPr>
          <w:rFonts w:asciiTheme="majorHAnsi" w:hAnsiTheme="majorHAnsi"/>
          <w:b/>
          <w:sz w:val="28"/>
          <w:szCs w:val="28"/>
        </w:rPr>
        <w:t xml:space="preserve"> </w:t>
      </w:r>
      <w:r w:rsidR="00584143">
        <w:rPr>
          <w:rFonts w:asciiTheme="majorHAnsi" w:hAnsiTheme="majorHAnsi"/>
          <w:b/>
          <w:color w:val="FF0000"/>
          <w:sz w:val="28"/>
          <w:szCs w:val="28"/>
        </w:rPr>
        <w:t xml:space="preserve">Waiver </w:t>
      </w:r>
      <w:r w:rsidR="00E36DBC">
        <w:rPr>
          <w:rFonts w:asciiTheme="majorHAnsi" w:hAnsiTheme="majorHAnsi"/>
          <w:b/>
          <w:color w:val="FF0000"/>
          <w:sz w:val="28"/>
          <w:szCs w:val="28"/>
        </w:rPr>
        <w:t>Based Incentives to Convert</w:t>
      </w:r>
    </w:p>
    <w:p w:rsidR="00E36DBC" w:rsidRDefault="00E36DBC" w:rsidP="00E36DBC">
      <w:pPr>
        <w:pStyle w:val="ListParagraph"/>
        <w:ind w:left="360"/>
        <w:rPr>
          <w:rFonts w:asciiTheme="majorHAnsi" w:hAnsiTheme="majorHAnsi"/>
          <w:b/>
          <w:strike/>
          <w:u w:val="single"/>
        </w:rPr>
      </w:pPr>
    </w:p>
    <w:p w:rsidR="00E36DBC" w:rsidRDefault="00EF12C5" w:rsidP="00E36DBC">
      <w:pPr>
        <w:pStyle w:val="ListParagraph"/>
        <w:ind w:left="0"/>
        <w:rPr>
          <w:rFonts w:asciiTheme="majorHAnsi" w:hAnsiTheme="majorHAnsi"/>
          <w:b/>
        </w:rPr>
      </w:pPr>
      <w:r w:rsidRPr="00E36DBC">
        <w:rPr>
          <w:rFonts w:asciiTheme="majorHAnsi" w:hAnsiTheme="majorHAnsi"/>
          <w:b/>
          <w:strike/>
          <w:u w:val="single"/>
        </w:rPr>
        <w:t>Waiver System</w:t>
      </w:r>
      <w:r>
        <w:rPr>
          <w:rFonts w:asciiTheme="majorHAnsi" w:hAnsiTheme="majorHAnsi"/>
          <w:b/>
        </w:rPr>
        <w:t xml:space="preserve"> </w:t>
      </w:r>
      <w:r w:rsidR="00E36DBC">
        <w:rPr>
          <w:rFonts w:asciiTheme="majorHAnsi" w:hAnsiTheme="majorHAnsi"/>
          <w:b/>
          <w:color w:val="FF0000"/>
        </w:rPr>
        <w:t xml:space="preserve">The waiver system </w:t>
      </w:r>
      <w:r>
        <w:rPr>
          <w:rFonts w:asciiTheme="majorHAnsi" w:hAnsiTheme="majorHAnsi"/>
          <w:b/>
        </w:rPr>
        <w:t>must have adequate capacity and resources to meet the needs of those individuals being converted from the ICF system to waivers</w:t>
      </w:r>
      <w:r w:rsidR="00E9580E">
        <w:rPr>
          <w:rFonts w:asciiTheme="majorHAnsi" w:hAnsiTheme="majorHAnsi"/>
          <w:b/>
        </w:rPr>
        <w:t xml:space="preserve"> </w:t>
      </w:r>
      <w:r w:rsidR="00E9580E">
        <w:rPr>
          <w:rFonts w:asciiTheme="majorHAnsi" w:hAnsiTheme="majorHAnsi"/>
          <w:b/>
          <w:color w:val="FF0000"/>
        </w:rPr>
        <w:t>and to attract provider interest in converting</w:t>
      </w:r>
      <w:r>
        <w:rPr>
          <w:rFonts w:asciiTheme="majorHAnsi" w:hAnsiTheme="majorHAnsi"/>
          <w:b/>
        </w:rPr>
        <w:t xml:space="preserve">. To achieve this, we support system change that will lead to long term sustainability of Ohio’s waiver system. </w:t>
      </w:r>
      <w:r w:rsidRPr="00E36DBC">
        <w:rPr>
          <w:rFonts w:asciiTheme="majorHAnsi" w:hAnsiTheme="majorHAnsi"/>
          <w:b/>
          <w:strike/>
        </w:rPr>
        <w:t xml:space="preserve">Examples of these systems changes include: weekly rate, shared living, </w:t>
      </w:r>
    </w:p>
    <w:p w:rsidR="00EF12C5" w:rsidRPr="00EF12C5" w:rsidRDefault="00EF12C5" w:rsidP="00EF12C5">
      <w:pPr>
        <w:pStyle w:val="ListParagraph"/>
        <w:ind w:left="360"/>
        <w:rPr>
          <w:rFonts w:asciiTheme="majorHAnsi" w:hAnsiTheme="majorHAnsi"/>
          <w:b/>
        </w:rPr>
      </w:pPr>
    </w:p>
    <w:p w:rsidR="00E36DBC" w:rsidRPr="00E36DBC" w:rsidRDefault="00E36DBC" w:rsidP="00E36DBC">
      <w:pPr>
        <w:pStyle w:val="ListParagraph"/>
        <w:numPr>
          <w:ilvl w:val="0"/>
          <w:numId w:val="1"/>
        </w:numPr>
        <w:rPr>
          <w:rFonts w:asciiTheme="majorHAnsi" w:hAnsiTheme="majorHAnsi"/>
          <w:b/>
        </w:rPr>
      </w:pPr>
      <w:r>
        <w:rPr>
          <w:rFonts w:asciiTheme="majorHAnsi" w:hAnsiTheme="majorHAnsi"/>
          <w:b/>
          <w:color w:val="FF0000"/>
          <w:u w:val="single"/>
        </w:rPr>
        <w:t>Waiver Slots</w:t>
      </w:r>
      <w:r>
        <w:rPr>
          <w:rFonts w:asciiTheme="majorHAnsi" w:hAnsiTheme="majorHAnsi"/>
          <w:b/>
          <w:color w:val="FF0000"/>
        </w:rPr>
        <w:t xml:space="preserve">: In addition to waiver slots resulting from ICF conversions, we support </w:t>
      </w:r>
      <w:r w:rsidRPr="00E36DBC">
        <w:rPr>
          <w:rFonts w:asciiTheme="majorHAnsi" w:hAnsiTheme="majorHAnsi"/>
          <w:b/>
        </w:rPr>
        <w:t xml:space="preserve">prioritizing ICF residents for waiver services/development of </w:t>
      </w:r>
      <w:r w:rsidR="00BD5412">
        <w:rPr>
          <w:rFonts w:asciiTheme="majorHAnsi" w:hAnsiTheme="majorHAnsi"/>
          <w:b/>
          <w:color w:val="FF0000"/>
        </w:rPr>
        <w:t xml:space="preserve">state funded </w:t>
      </w:r>
      <w:r w:rsidRPr="00E36DBC">
        <w:rPr>
          <w:rFonts w:asciiTheme="majorHAnsi" w:hAnsiTheme="majorHAnsi"/>
          <w:b/>
        </w:rPr>
        <w:t>waiver slots specifically for those residing in ICF’s who wish to move</w:t>
      </w:r>
      <w:r w:rsidRPr="007F5483">
        <w:rPr>
          <w:rFonts w:asciiTheme="majorHAnsi" w:hAnsiTheme="majorHAnsi"/>
          <w:b/>
          <w:strike/>
        </w:rPr>
        <w:t>, along with the following items:</w:t>
      </w:r>
      <w:r w:rsidR="007F5483">
        <w:rPr>
          <w:rFonts w:asciiTheme="majorHAnsi" w:hAnsiTheme="majorHAnsi"/>
          <w:b/>
          <w:color w:val="FF0000"/>
        </w:rPr>
        <w:t>. This recommendation requires additional funding. It cannot be supported by shifting dollars from ICFs.</w:t>
      </w:r>
    </w:p>
    <w:p w:rsidR="00E36DBC" w:rsidRPr="00E36DBC" w:rsidRDefault="00E36DBC" w:rsidP="007F5483">
      <w:pPr>
        <w:pStyle w:val="ListParagraph"/>
        <w:ind w:left="360"/>
        <w:rPr>
          <w:rFonts w:asciiTheme="majorHAnsi" w:hAnsiTheme="majorHAnsi"/>
          <w:b/>
        </w:rPr>
      </w:pPr>
    </w:p>
    <w:p w:rsidR="00EF12C5" w:rsidRPr="007F5483" w:rsidRDefault="00EF12C5" w:rsidP="007F5483">
      <w:pPr>
        <w:pStyle w:val="ListParagraph"/>
        <w:ind w:left="360"/>
        <w:rPr>
          <w:rFonts w:asciiTheme="majorHAnsi" w:hAnsiTheme="majorHAnsi"/>
          <w:b/>
          <w:strike/>
        </w:rPr>
      </w:pPr>
      <w:r w:rsidRPr="007F5483">
        <w:rPr>
          <w:rFonts w:asciiTheme="majorHAnsi" w:hAnsiTheme="majorHAnsi"/>
          <w:b/>
          <w:strike/>
          <w:u w:val="single"/>
        </w:rPr>
        <w:lastRenderedPageBreak/>
        <w:t>Room and Board:</w:t>
      </w:r>
      <w:r w:rsidRPr="007F5483">
        <w:rPr>
          <w:rFonts w:asciiTheme="majorHAnsi" w:hAnsiTheme="majorHAnsi"/>
          <w:b/>
          <w:strike/>
        </w:rPr>
        <w:t xml:space="preserve"> This is an issue for individuals who live in (or wish to live in) the community, but cannot support themselves adequately given the limits of their resources. We recommend that DODD make available R&amp;B funds to support individuals who choose to move as part of a conversion or downsizing effort.</w:t>
      </w:r>
    </w:p>
    <w:p w:rsidR="00EF12C5" w:rsidRPr="00A77186" w:rsidRDefault="00EF12C5" w:rsidP="00EF12C5">
      <w:pPr>
        <w:pStyle w:val="ListParagraph"/>
        <w:rPr>
          <w:rFonts w:asciiTheme="majorHAnsi" w:hAnsiTheme="majorHAnsi"/>
          <w:b/>
        </w:rPr>
      </w:pPr>
    </w:p>
    <w:p w:rsidR="007F5483" w:rsidRPr="007F5483" w:rsidRDefault="00EF12C5" w:rsidP="00EF12C5">
      <w:pPr>
        <w:pStyle w:val="ListParagraph"/>
        <w:numPr>
          <w:ilvl w:val="0"/>
          <w:numId w:val="1"/>
        </w:numPr>
        <w:rPr>
          <w:rFonts w:asciiTheme="majorHAnsi" w:hAnsiTheme="majorHAnsi"/>
          <w:b/>
          <w:u w:val="single"/>
        </w:rPr>
      </w:pPr>
      <w:r>
        <w:rPr>
          <w:rFonts w:asciiTheme="majorHAnsi" w:hAnsiTheme="majorHAnsi"/>
          <w:b/>
          <w:u w:val="single"/>
        </w:rPr>
        <w:t>Waiver Rates:</w:t>
      </w:r>
      <w:r>
        <w:rPr>
          <w:rFonts w:asciiTheme="majorHAnsi" w:hAnsiTheme="majorHAnsi"/>
          <w:b/>
        </w:rPr>
        <w:t xml:space="preserve"> In order to serve those currently receiving HCBS, as well as those new to waivers, we recommend </w:t>
      </w:r>
      <w:r w:rsidR="007F5483">
        <w:rPr>
          <w:rFonts w:asciiTheme="majorHAnsi" w:hAnsiTheme="majorHAnsi"/>
          <w:b/>
          <w:color w:val="FF0000"/>
        </w:rPr>
        <w:t>the following:</w:t>
      </w:r>
    </w:p>
    <w:p w:rsidR="007F5483" w:rsidRPr="007F5483" w:rsidRDefault="007F5483" w:rsidP="007F5483">
      <w:pPr>
        <w:pStyle w:val="ListParagraph"/>
        <w:ind w:left="360"/>
        <w:rPr>
          <w:rFonts w:asciiTheme="majorHAnsi" w:hAnsiTheme="majorHAnsi"/>
          <w:b/>
          <w:u w:val="single"/>
        </w:rPr>
      </w:pPr>
    </w:p>
    <w:p w:rsidR="00EA05AB" w:rsidRPr="00EA05AB" w:rsidRDefault="00EA05AB" w:rsidP="007F5483">
      <w:pPr>
        <w:pStyle w:val="ListParagraph"/>
        <w:numPr>
          <w:ilvl w:val="1"/>
          <w:numId w:val="1"/>
        </w:numPr>
        <w:ind w:left="720"/>
        <w:rPr>
          <w:rFonts w:asciiTheme="majorHAnsi" w:hAnsiTheme="majorHAnsi"/>
          <w:b/>
          <w:u w:val="single"/>
        </w:rPr>
      </w:pPr>
      <w:r>
        <w:rPr>
          <w:rFonts w:asciiTheme="majorHAnsi" w:hAnsiTheme="majorHAnsi"/>
          <w:b/>
          <w:color w:val="FF0000"/>
        </w:rPr>
        <w:t xml:space="preserve">Time limited rate increase </w:t>
      </w:r>
      <w:r w:rsidR="00AA6D39">
        <w:rPr>
          <w:rFonts w:asciiTheme="majorHAnsi" w:hAnsiTheme="majorHAnsi"/>
          <w:b/>
          <w:color w:val="FF0000"/>
        </w:rPr>
        <w:t xml:space="preserve">(more than 52 cents) </w:t>
      </w:r>
      <w:r>
        <w:rPr>
          <w:rFonts w:asciiTheme="majorHAnsi" w:hAnsiTheme="majorHAnsi"/>
          <w:b/>
          <w:color w:val="FF0000"/>
        </w:rPr>
        <w:t>for waivers serving people moved from ICF.</w:t>
      </w:r>
    </w:p>
    <w:p w:rsidR="00EA05AB" w:rsidRPr="00EA05AB" w:rsidRDefault="00EA05AB" w:rsidP="00EA05AB">
      <w:pPr>
        <w:pStyle w:val="ListParagraph"/>
        <w:rPr>
          <w:rFonts w:asciiTheme="majorHAnsi" w:hAnsiTheme="majorHAnsi"/>
          <w:b/>
          <w:u w:val="single"/>
        </w:rPr>
      </w:pPr>
    </w:p>
    <w:p w:rsidR="007F5483" w:rsidRPr="007F5483" w:rsidRDefault="007F5483" w:rsidP="007F5483">
      <w:pPr>
        <w:pStyle w:val="ListParagraph"/>
        <w:numPr>
          <w:ilvl w:val="1"/>
          <w:numId w:val="1"/>
        </w:numPr>
        <w:ind w:left="720"/>
        <w:rPr>
          <w:rFonts w:asciiTheme="majorHAnsi" w:hAnsiTheme="majorHAnsi"/>
          <w:b/>
          <w:u w:val="single"/>
        </w:rPr>
      </w:pPr>
      <w:r>
        <w:rPr>
          <w:rFonts w:asciiTheme="majorHAnsi" w:hAnsiTheme="majorHAnsi"/>
          <w:b/>
          <w:color w:val="FF0000"/>
        </w:rPr>
        <w:t>Implementation of weekly rates.</w:t>
      </w:r>
    </w:p>
    <w:p w:rsidR="007F5483" w:rsidRPr="007F5483" w:rsidRDefault="007F5483" w:rsidP="007F5483">
      <w:pPr>
        <w:pStyle w:val="ListParagraph"/>
        <w:rPr>
          <w:rFonts w:asciiTheme="majorHAnsi" w:hAnsiTheme="majorHAnsi"/>
          <w:b/>
          <w:u w:val="single"/>
        </w:rPr>
      </w:pPr>
    </w:p>
    <w:p w:rsidR="007F5483" w:rsidRPr="007F5483" w:rsidRDefault="007F5483" w:rsidP="007F5483">
      <w:pPr>
        <w:pStyle w:val="ListParagraph"/>
        <w:numPr>
          <w:ilvl w:val="1"/>
          <w:numId w:val="1"/>
        </w:numPr>
        <w:ind w:left="720"/>
        <w:rPr>
          <w:rFonts w:asciiTheme="majorHAnsi" w:hAnsiTheme="majorHAnsi"/>
          <w:b/>
          <w:u w:val="single"/>
        </w:rPr>
      </w:pPr>
      <w:r>
        <w:rPr>
          <w:rFonts w:asciiTheme="majorHAnsi" w:hAnsiTheme="majorHAnsi"/>
          <w:b/>
          <w:color w:val="FF0000"/>
        </w:rPr>
        <w:t>Inclusion of nursing in waivers as appropriate</w:t>
      </w:r>
      <w:r w:rsidR="00AD15A6">
        <w:rPr>
          <w:rFonts w:asciiTheme="majorHAnsi" w:hAnsiTheme="majorHAnsi"/>
          <w:b/>
          <w:color w:val="FF0000"/>
        </w:rPr>
        <w:t>,</w:t>
      </w:r>
      <w:r>
        <w:rPr>
          <w:rFonts w:asciiTheme="majorHAnsi" w:hAnsiTheme="majorHAnsi"/>
          <w:b/>
          <w:color w:val="FF0000"/>
        </w:rPr>
        <w:t xml:space="preserve"> coupled with </w:t>
      </w:r>
      <w:r w:rsidR="00AD15A6">
        <w:rPr>
          <w:rFonts w:asciiTheme="majorHAnsi" w:hAnsiTheme="majorHAnsi"/>
          <w:b/>
          <w:color w:val="FF0000"/>
        </w:rPr>
        <w:t xml:space="preserve">better integrating services by </w:t>
      </w:r>
      <w:r>
        <w:rPr>
          <w:rFonts w:asciiTheme="majorHAnsi" w:hAnsiTheme="majorHAnsi"/>
          <w:b/>
          <w:color w:val="FF0000"/>
        </w:rPr>
        <w:t>granting SSAs ability to authorize state plan nursing as well as waiver nursing.</w:t>
      </w:r>
    </w:p>
    <w:p w:rsidR="007F5483" w:rsidRPr="007F5483" w:rsidRDefault="007F5483" w:rsidP="007F5483">
      <w:pPr>
        <w:pStyle w:val="ListParagraph"/>
        <w:rPr>
          <w:rFonts w:asciiTheme="majorHAnsi" w:hAnsiTheme="majorHAnsi"/>
          <w:b/>
          <w:u w:val="single"/>
        </w:rPr>
      </w:pPr>
    </w:p>
    <w:p w:rsidR="00EF12C5" w:rsidRPr="007F5483" w:rsidRDefault="00EF12C5" w:rsidP="007F5483">
      <w:pPr>
        <w:pStyle w:val="ListParagraph"/>
        <w:numPr>
          <w:ilvl w:val="1"/>
          <w:numId w:val="1"/>
        </w:numPr>
        <w:ind w:left="720"/>
        <w:rPr>
          <w:rFonts w:asciiTheme="majorHAnsi" w:hAnsiTheme="majorHAnsi"/>
          <w:b/>
          <w:u w:val="single"/>
        </w:rPr>
      </w:pPr>
      <w:r w:rsidRPr="007F5483">
        <w:rPr>
          <w:rFonts w:asciiTheme="majorHAnsi" w:hAnsiTheme="majorHAnsi"/>
          <w:b/>
          <w:strike/>
        </w:rPr>
        <w:t>a</w:t>
      </w:r>
      <w:r w:rsidRPr="007F5483">
        <w:rPr>
          <w:rFonts w:asciiTheme="majorHAnsi" w:hAnsiTheme="majorHAnsi"/>
          <w:b/>
        </w:rPr>
        <w:t xml:space="preserve"> </w:t>
      </w:r>
      <w:proofErr w:type="spellStart"/>
      <w:r w:rsidR="007F5483">
        <w:rPr>
          <w:rFonts w:asciiTheme="majorHAnsi" w:hAnsiTheme="majorHAnsi"/>
          <w:b/>
          <w:color w:val="FF0000"/>
        </w:rPr>
        <w:t>A</w:t>
      </w:r>
      <w:proofErr w:type="spellEnd"/>
      <w:r w:rsidR="007F5483">
        <w:rPr>
          <w:rFonts w:asciiTheme="majorHAnsi" w:hAnsiTheme="majorHAnsi"/>
          <w:b/>
          <w:color w:val="FF0000"/>
        </w:rPr>
        <w:t xml:space="preserve"> </w:t>
      </w:r>
      <w:r>
        <w:rPr>
          <w:rFonts w:asciiTheme="majorHAnsi" w:hAnsiTheme="majorHAnsi"/>
          <w:b/>
        </w:rPr>
        <w:t>waiver rate increase that is not funded solely via savings in the ICF system. Staff recruitment and retention are crucial to a successful HCBS system. New GRF is necessary to achieve this.</w:t>
      </w:r>
    </w:p>
    <w:p w:rsidR="007F5483" w:rsidRPr="007F5483" w:rsidRDefault="007F5483" w:rsidP="007F5483">
      <w:pPr>
        <w:pStyle w:val="ListParagraph"/>
        <w:rPr>
          <w:rFonts w:asciiTheme="majorHAnsi" w:hAnsiTheme="majorHAnsi"/>
          <w:b/>
          <w:u w:val="single"/>
        </w:rPr>
      </w:pPr>
    </w:p>
    <w:p w:rsidR="007F5483" w:rsidRPr="00080131" w:rsidRDefault="007F5483" w:rsidP="007F5483">
      <w:pPr>
        <w:pStyle w:val="ListParagraph"/>
        <w:numPr>
          <w:ilvl w:val="1"/>
          <w:numId w:val="1"/>
        </w:numPr>
        <w:ind w:left="720"/>
        <w:rPr>
          <w:rFonts w:asciiTheme="majorHAnsi" w:hAnsiTheme="majorHAnsi"/>
          <w:b/>
          <w:u w:val="single"/>
        </w:rPr>
      </w:pPr>
      <w:r>
        <w:rPr>
          <w:rFonts w:asciiTheme="majorHAnsi" w:hAnsiTheme="majorHAnsi"/>
          <w:b/>
          <w:color w:val="FF0000"/>
        </w:rPr>
        <w:t>Expansion of shared living.</w:t>
      </w:r>
    </w:p>
    <w:p w:rsidR="00080131" w:rsidRPr="00080131" w:rsidRDefault="00080131" w:rsidP="00080131">
      <w:pPr>
        <w:pStyle w:val="ListParagraph"/>
        <w:rPr>
          <w:rFonts w:asciiTheme="majorHAnsi" w:hAnsiTheme="majorHAnsi"/>
          <w:b/>
          <w:u w:val="single"/>
        </w:rPr>
      </w:pPr>
    </w:p>
    <w:p w:rsidR="001424B5" w:rsidRPr="00F04FD7" w:rsidRDefault="001424B5" w:rsidP="001424B5">
      <w:pPr>
        <w:pStyle w:val="ListParagraph"/>
        <w:numPr>
          <w:ilvl w:val="0"/>
          <w:numId w:val="1"/>
        </w:numPr>
        <w:rPr>
          <w:rFonts w:asciiTheme="majorHAnsi" w:hAnsiTheme="majorHAnsi"/>
          <w:b/>
          <w:u w:val="single"/>
        </w:rPr>
      </w:pPr>
      <w:r>
        <w:rPr>
          <w:rFonts w:asciiTheme="majorHAnsi" w:hAnsiTheme="majorHAnsi"/>
          <w:b/>
          <w:u w:val="single"/>
        </w:rPr>
        <w:t>Program Specialist:</w:t>
      </w:r>
      <w:r>
        <w:rPr>
          <w:rFonts w:asciiTheme="majorHAnsi" w:hAnsiTheme="majorHAnsi"/>
        </w:rPr>
        <w:t xml:space="preserve"> </w:t>
      </w:r>
      <w:r>
        <w:rPr>
          <w:rFonts w:asciiTheme="majorHAnsi" w:hAnsiTheme="majorHAnsi"/>
          <w:b/>
        </w:rPr>
        <w:t xml:space="preserve"> The level of staff supervision and oversight is an issue given the current rate structure. In order to succeed in conversion efforts, we believe additional supervision is needed. We recommend Program Specialist Services be provided for those moving to converted settings.</w:t>
      </w:r>
    </w:p>
    <w:p w:rsidR="00F04FD7" w:rsidRPr="00F04FD7" w:rsidRDefault="00F04FD7" w:rsidP="00F04FD7">
      <w:pPr>
        <w:pStyle w:val="ListParagraph"/>
        <w:ind w:left="360"/>
        <w:rPr>
          <w:rFonts w:asciiTheme="majorHAnsi" w:hAnsiTheme="majorHAnsi"/>
          <w:b/>
          <w:u w:val="single"/>
        </w:rPr>
      </w:pPr>
    </w:p>
    <w:p w:rsidR="00F04FD7" w:rsidRPr="00F04FD7" w:rsidRDefault="00F04FD7" w:rsidP="00F04FD7">
      <w:pPr>
        <w:pStyle w:val="ListParagraph"/>
        <w:numPr>
          <w:ilvl w:val="0"/>
          <w:numId w:val="1"/>
        </w:numPr>
        <w:rPr>
          <w:rFonts w:asciiTheme="majorHAnsi" w:hAnsiTheme="majorHAnsi"/>
          <w:b/>
          <w:u w:val="single"/>
        </w:rPr>
      </w:pPr>
      <w:r>
        <w:rPr>
          <w:rFonts w:asciiTheme="majorHAnsi" w:hAnsiTheme="majorHAnsi"/>
          <w:b/>
          <w:color w:val="FF0000"/>
          <w:u w:val="single"/>
        </w:rPr>
        <w:t>Provider Involvement</w:t>
      </w:r>
      <w:r>
        <w:rPr>
          <w:rFonts w:asciiTheme="majorHAnsi" w:hAnsiTheme="majorHAnsi"/>
          <w:b/>
          <w:color w:val="FF0000"/>
        </w:rPr>
        <w:t>: Give providers more input into filling waiver slots and developing service plans for conversion waivers. These are areas of significant "cultural" difference from the ICF program.</w:t>
      </w:r>
    </w:p>
    <w:p w:rsidR="007F5483" w:rsidRDefault="007F5483" w:rsidP="007F5483">
      <w:pPr>
        <w:rPr>
          <w:rFonts w:asciiTheme="majorHAnsi" w:hAnsiTheme="majorHAnsi"/>
          <w:b/>
          <w:u w:val="single"/>
        </w:rPr>
      </w:pPr>
    </w:p>
    <w:p w:rsidR="007F5483" w:rsidRPr="007F5483" w:rsidRDefault="003E4E06" w:rsidP="007F5483">
      <w:pPr>
        <w:rPr>
          <w:rFonts w:asciiTheme="majorHAnsi" w:hAnsiTheme="majorHAnsi"/>
          <w:b/>
          <w:color w:val="FF0000"/>
          <w:sz w:val="28"/>
          <w:szCs w:val="28"/>
        </w:rPr>
      </w:pPr>
      <w:r>
        <w:rPr>
          <w:rFonts w:asciiTheme="majorHAnsi" w:hAnsiTheme="majorHAnsi"/>
          <w:b/>
          <w:color w:val="FF0000"/>
          <w:sz w:val="28"/>
          <w:szCs w:val="28"/>
        </w:rPr>
        <w:t>Non-Medicaid</w:t>
      </w:r>
      <w:r w:rsidR="007F5483">
        <w:rPr>
          <w:rFonts w:asciiTheme="majorHAnsi" w:hAnsiTheme="majorHAnsi"/>
          <w:b/>
          <w:color w:val="FF0000"/>
          <w:sz w:val="28"/>
          <w:szCs w:val="28"/>
        </w:rPr>
        <w:t xml:space="preserve"> Initiatives</w:t>
      </w:r>
    </w:p>
    <w:p w:rsidR="001424B5" w:rsidRPr="002E1EF9" w:rsidRDefault="001424B5" w:rsidP="001424B5">
      <w:pPr>
        <w:pStyle w:val="ListParagraph"/>
        <w:rPr>
          <w:rFonts w:asciiTheme="majorHAnsi" w:hAnsiTheme="majorHAnsi"/>
          <w:b/>
          <w:u w:val="single"/>
        </w:rPr>
      </w:pPr>
    </w:p>
    <w:p w:rsidR="001424B5" w:rsidRPr="007F5483" w:rsidRDefault="001424B5" w:rsidP="001424B5">
      <w:pPr>
        <w:pStyle w:val="ListParagraph"/>
        <w:numPr>
          <w:ilvl w:val="0"/>
          <w:numId w:val="1"/>
        </w:numPr>
        <w:rPr>
          <w:rFonts w:asciiTheme="majorHAnsi" w:hAnsiTheme="majorHAnsi"/>
          <w:b/>
          <w:u w:val="single"/>
        </w:rPr>
      </w:pPr>
      <w:r>
        <w:rPr>
          <w:rFonts w:asciiTheme="majorHAnsi" w:hAnsiTheme="majorHAnsi"/>
          <w:b/>
          <w:u w:val="single"/>
        </w:rPr>
        <w:t>Housing:</w:t>
      </w:r>
      <w:r>
        <w:rPr>
          <w:rFonts w:asciiTheme="majorHAnsi" w:hAnsiTheme="majorHAnsi"/>
        </w:rPr>
        <w:t xml:space="preserve"> </w:t>
      </w:r>
      <w:r>
        <w:rPr>
          <w:rFonts w:asciiTheme="majorHAnsi" w:hAnsiTheme="majorHAnsi"/>
          <w:b/>
        </w:rPr>
        <w:t>Safe, affordable housing is a barrier for many. We recommend the allocation of capital funds and a partnership with HUD and/or other housing authorities to increase the availability of affordable housing stock.</w:t>
      </w:r>
      <w:r w:rsidR="006F3A53">
        <w:rPr>
          <w:rFonts w:asciiTheme="majorHAnsi" w:hAnsiTheme="majorHAnsi"/>
          <w:b/>
        </w:rPr>
        <w:t xml:space="preserve"> </w:t>
      </w:r>
      <w:r w:rsidR="006F3A53">
        <w:rPr>
          <w:rFonts w:asciiTheme="majorHAnsi" w:hAnsiTheme="majorHAnsi"/>
          <w:b/>
          <w:color w:val="FF0000"/>
        </w:rPr>
        <w:t>Allow participation of providers other than non-profit housing corporations.</w:t>
      </w:r>
    </w:p>
    <w:p w:rsidR="007F5483" w:rsidRPr="00C54C04" w:rsidRDefault="007F5483" w:rsidP="007F5483">
      <w:pPr>
        <w:pStyle w:val="ListParagraph"/>
        <w:ind w:left="360"/>
        <w:rPr>
          <w:rFonts w:asciiTheme="majorHAnsi" w:hAnsiTheme="majorHAnsi"/>
          <w:b/>
          <w:u w:val="single"/>
        </w:rPr>
      </w:pPr>
    </w:p>
    <w:p w:rsidR="007F5483" w:rsidRPr="007F5483" w:rsidRDefault="007F5483" w:rsidP="007F5483">
      <w:pPr>
        <w:pStyle w:val="ListParagraph"/>
        <w:numPr>
          <w:ilvl w:val="0"/>
          <w:numId w:val="1"/>
        </w:numPr>
        <w:rPr>
          <w:rFonts w:asciiTheme="majorHAnsi" w:hAnsiTheme="majorHAnsi"/>
          <w:b/>
          <w:color w:val="FF0000"/>
        </w:rPr>
      </w:pPr>
      <w:r w:rsidRPr="007F5483">
        <w:rPr>
          <w:rFonts w:asciiTheme="majorHAnsi" w:hAnsiTheme="majorHAnsi"/>
          <w:b/>
          <w:color w:val="FF0000"/>
          <w:u w:val="single"/>
        </w:rPr>
        <w:t>Room and Board:</w:t>
      </w:r>
      <w:r w:rsidRPr="007F5483">
        <w:rPr>
          <w:rFonts w:asciiTheme="majorHAnsi" w:hAnsiTheme="majorHAnsi"/>
          <w:b/>
          <w:color w:val="FF0000"/>
        </w:rPr>
        <w:t xml:space="preserve"> This is an issue for individuals who live in (or wish to live in) the community, but cannot support themselves adequately given the limits of their resources. We recommend that DODD make available R&amp;B funds to support individuals who choose to move as part of a conversion or downsizing effort.</w:t>
      </w:r>
    </w:p>
    <w:p w:rsidR="001424B5" w:rsidRPr="00C54C04" w:rsidRDefault="001424B5" w:rsidP="001424B5">
      <w:pPr>
        <w:pStyle w:val="ListParagraph"/>
        <w:rPr>
          <w:rFonts w:asciiTheme="majorHAnsi" w:hAnsiTheme="majorHAnsi"/>
          <w:b/>
          <w:u w:val="single"/>
        </w:rPr>
      </w:pPr>
    </w:p>
    <w:sectPr w:rsidR="001424B5" w:rsidRPr="00C54C04" w:rsidSect="00F37651">
      <w:headerReference w:type="even" r:id="rId8"/>
      <w:headerReference w:type="default" r:id="rId9"/>
      <w:footerReference w:type="even" r:id="rId10"/>
      <w:footerReference w:type="default" r:id="rId11"/>
      <w:headerReference w:type="first" r:id="rId12"/>
      <w:footerReference w:type="first" r:id="rId13"/>
      <w:pgSz w:w="12240" w:h="15840" w:code="1"/>
      <w:pgMar w:top="1440" w:right="1800" w:bottom="1440" w:left="1800" w:header="960" w:footer="96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9580E" w:rsidRDefault="00E9580E">
      <w:r>
        <w:separator/>
      </w:r>
    </w:p>
    <w:p w:rsidR="00E9580E" w:rsidRDefault="00E9580E"/>
  </w:endnote>
  <w:endnote w:type="continuationSeparator" w:id="0">
    <w:p w:rsidR="00E9580E" w:rsidRDefault="00E9580E">
      <w:r>
        <w:continuationSeparator/>
      </w:r>
    </w:p>
    <w:p w:rsidR="00E9580E" w:rsidRDefault="00E9580E"/>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80E" w:rsidRDefault="00E958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E9580E" w:rsidRDefault="00E9580E">
    <w:pPr>
      <w:pStyle w:val="Footer"/>
    </w:pPr>
  </w:p>
  <w:p w:rsidR="00E9580E" w:rsidRDefault="00E9580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80E" w:rsidRDefault="00E9580E">
    <w:pPr>
      <w:pStyle w:val="Footer"/>
      <w:pBdr>
        <w:top w:val="single" w:sz="6" w:space="2" w:color="auto"/>
      </w:pBdr>
      <w:ind w:left="4080" w:right="4080"/>
    </w:pPr>
    <w:r>
      <w:rPr>
        <w:rStyle w:val="PageNumber"/>
      </w:rPr>
      <w:fldChar w:fldCharType="begin"/>
    </w:r>
    <w:r>
      <w:rPr>
        <w:rStyle w:val="PageNumber"/>
      </w:rPr>
      <w:instrText xml:space="preserve"> PAGE </w:instrText>
    </w:r>
    <w:r>
      <w:rPr>
        <w:rStyle w:val="PageNumber"/>
      </w:rPr>
      <w:fldChar w:fldCharType="separate"/>
    </w:r>
    <w:r w:rsidR="00AD15A6">
      <w:rPr>
        <w:rStyle w:val="PageNumber"/>
        <w:noProof/>
      </w:rPr>
      <w:t>4</w:t>
    </w:r>
    <w:r>
      <w:rPr>
        <w:rStyle w:val="PageNumber"/>
      </w:rPr>
      <w:fldChar w:fldCharType="end"/>
    </w:r>
  </w:p>
  <w:p w:rsidR="00E9580E" w:rsidRDefault="00E9580E"/>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80E" w:rsidRDefault="00E9580E">
    <w:pPr>
      <w:pStyle w:val="Footer"/>
      <w:jc w:val="lef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9580E" w:rsidRDefault="00E9580E">
      <w:r>
        <w:separator/>
      </w:r>
    </w:p>
    <w:p w:rsidR="00E9580E" w:rsidRDefault="00E9580E"/>
  </w:footnote>
  <w:footnote w:type="continuationSeparator" w:id="0">
    <w:p w:rsidR="00E9580E" w:rsidRDefault="00E9580E">
      <w:r>
        <w:continuationSeparator/>
      </w:r>
    </w:p>
    <w:p w:rsidR="00E9580E" w:rsidRDefault="00E9580E"/>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80E" w:rsidRDefault="00E9580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90043974"/>
      <w:docPartObj>
        <w:docPartGallery w:val="Watermarks"/>
        <w:docPartUnique/>
      </w:docPartObj>
    </w:sdtPr>
    <w:sdtContent>
      <w:p w:rsidR="00E9580E" w:rsidRDefault="00E9580E">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2"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9580E" w:rsidRDefault="00E9580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A040D2E"/>
    <w:multiLevelType w:val="hybridMultilevel"/>
    <w:tmpl w:val="57BAEF4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1"/>
  <w:activeWritingStyle w:appName="MSWord" w:lang="en-US" w:vendorID="8" w:dllVersion="513" w:checkStyle="1"/>
  <w:proofState w:spelling="clean"/>
  <w:attachedTemplate r:id="rId1"/>
  <w:defaultTabStop w:val="720"/>
  <w:drawingGridHorizontalSpacing w:val="187"/>
  <w:drawingGridVerticalSpacing w:val="187"/>
  <w:doNotUseMarginsForDrawingGridOrigin/>
  <w:drawingGridHorizontalOrigin w:val="1699"/>
  <w:drawingGridVerticalOrigin w:val="1987"/>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rsids>
    <w:rsidRoot w:val="001424B5"/>
    <w:rsid w:val="00042CCC"/>
    <w:rsid w:val="00080131"/>
    <w:rsid w:val="000D4049"/>
    <w:rsid w:val="001424B5"/>
    <w:rsid w:val="001A09F5"/>
    <w:rsid w:val="001A3EBB"/>
    <w:rsid w:val="002268E1"/>
    <w:rsid w:val="0034314F"/>
    <w:rsid w:val="00347574"/>
    <w:rsid w:val="003E4E06"/>
    <w:rsid w:val="005673B8"/>
    <w:rsid w:val="00584143"/>
    <w:rsid w:val="006F3A53"/>
    <w:rsid w:val="007627AB"/>
    <w:rsid w:val="007F5483"/>
    <w:rsid w:val="008C5CA0"/>
    <w:rsid w:val="008D46AC"/>
    <w:rsid w:val="008F4F5E"/>
    <w:rsid w:val="00A84FB1"/>
    <w:rsid w:val="00AA6D39"/>
    <w:rsid w:val="00AB06DE"/>
    <w:rsid w:val="00AB0FD6"/>
    <w:rsid w:val="00AD15A6"/>
    <w:rsid w:val="00B308A3"/>
    <w:rsid w:val="00B3750F"/>
    <w:rsid w:val="00B55D8A"/>
    <w:rsid w:val="00BD5412"/>
    <w:rsid w:val="00C662AE"/>
    <w:rsid w:val="00C82D57"/>
    <w:rsid w:val="00E1107E"/>
    <w:rsid w:val="00E36DBC"/>
    <w:rsid w:val="00E9580E"/>
    <w:rsid w:val="00EA05AB"/>
    <w:rsid w:val="00ED27F4"/>
    <w:rsid w:val="00EE3FAA"/>
    <w:rsid w:val="00EF12C5"/>
    <w:rsid w:val="00F01BBB"/>
    <w:rsid w:val="00F04FD7"/>
    <w:rsid w:val="00F358EA"/>
    <w:rsid w:val="00F37651"/>
    <w:rsid w:val="00F91C8D"/>
    <w:rsid w:val="00FE16F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qFormat="1"/>
    <w:lsdException w:name="Subtitle" w:uiPriority="11" w:qFormat="1"/>
    <w:lsdException w:name="Strong" w:uiPriority="22" w:qFormat="1"/>
    <w:lsdException w:name="Emphasis" w:uiPriority="20" w:qFormat="1"/>
    <w:lsdException w:name="Table Grid" w:semiHidden="0" w:uiPriority="59" w:unhideWhenUsed="0"/>
    <w:lsdException w:name="Placeholder Text" w:unhideWhenUsed="0"/>
    <w:lsdException w:name="No Spacing" w:uiPriority="1"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uiPriority="29" w:qFormat="1"/>
    <w:lsdException w:name="Intense Quote" w:uiPriority="3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atentStyles>
  <w:style w:type="paragraph" w:default="1" w:styleId="Normal">
    <w:name w:val="Normal"/>
    <w:qFormat/>
    <w:rsid w:val="00F358EA"/>
    <w:rPr>
      <w:rFonts w:asciiTheme="minorHAnsi" w:hAnsiTheme="minorHAnsi"/>
      <w:sz w:val="22"/>
    </w:rPr>
  </w:style>
  <w:style w:type="paragraph" w:styleId="Heading1">
    <w:name w:val="heading 1"/>
    <w:basedOn w:val="Normal"/>
    <w:next w:val="BodyText"/>
    <w:qFormat/>
    <w:rsid w:val="00F358EA"/>
    <w:pPr>
      <w:spacing w:after="60"/>
      <w:outlineLvl w:val="0"/>
    </w:pPr>
    <w:rPr>
      <w:rFonts w:asciiTheme="majorHAnsi" w:hAnsiTheme="majorHAnsi"/>
      <w:b/>
      <w:caps/>
      <w:sz w:val="18"/>
    </w:rPr>
  </w:style>
  <w:style w:type="paragraph" w:styleId="Heading2">
    <w:name w:val="heading 2"/>
    <w:basedOn w:val="Normal"/>
    <w:next w:val="Normal"/>
    <w:unhideWhenUsed/>
    <w:qFormat/>
    <w:rsid w:val="00F358EA"/>
    <w:pPr>
      <w:outlineLvl w:val="1"/>
    </w:pPr>
    <w:rPr>
      <w:caps/>
      <w:sz w:val="18"/>
    </w:rPr>
  </w:style>
  <w:style w:type="paragraph" w:styleId="Heading3">
    <w:name w:val="heading 3"/>
    <w:basedOn w:val="Normal"/>
    <w:next w:val="BodyText"/>
    <w:semiHidden/>
    <w:unhideWhenUsed/>
    <w:rsid w:val="00F37651"/>
    <w:pPr>
      <w:keepNext/>
      <w:keepLines/>
      <w:spacing w:after="240" w:line="240" w:lineRule="atLeast"/>
      <w:outlineLvl w:val="2"/>
    </w:pPr>
    <w:rPr>
      <w:i/>
      <w:kern w:val="20"/>
    </w:rPr>
  </w:style>
  <w:style w:type="paragraph" w:styleId="Heading4">
    <w:name w:val="heading 4"/>
    <w:basedOn w:val="Normal"/>
    <w:next w:val="BodyText"/>
    <w:semiHidden/>
    <w:unhideWhenUsed/>
    <w:qFormat/>
    <w:rsid w:val="00F37651"/>
    <w:pPr>
      <w:keepNext/>
      <w:keepLines/>
      <w:spacing w:line="240" w:lineRule="atLeast"/>
      <w:outlineLvl w:val="3"/>
    </w:pPr>
    <w:rPr>
      <w:caps/>
      <w:kern w:val="20"/>
      <w:sz w:val="18"/>
    </w:rPr>
  </w:style>
  <w:style w:type="paragraph" w:styleId="Heading5">
    <w:name w:val="heading 5"/>
    <w:basedOn w:val="Normal"/>
    <w:next w:val="BodyText"/>
    <w:semiHidden/>
    <w:unhideWhenUsed/>
    <w:qFormat/>
    <w:rsid w:val="00F37651"/>
    <w:pPr>
      <w:keepNext/>
      <w:keepLines/>
      <w:spacing w:line="240" w:lineRule="atLeast"/>
      <w:outlineLvl w:val="4"/>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nhideWhenUsed/>
    <w:qFormat/>
    <w:rsid w:val="00F358EA"/>
    <w:pPr>
      <w:spacing w:before="240"/>
      <w:ind w:firstLine="720"/>
    </w:pPr>
  </w:style>
  <w:style w:type="paragraph" w:styleId="Closing">
    <w:name w:val="Closing"/>
    <w:basedOn w:val="Normal"/>
    <w:next w:val="Normal"/>
    <w:semiHidden/>
    <w:rsid w:val="00F37651"/>
    <w:pPr>
      <w:spacing w:line="220" w:lineRule="atLeast"/>
    </w:pPr>
  </w:style>
  <w:style w:type="paragraph" w:styleId="Footer">
    <w:name w:val="footer"/>
    <w:basedOn w:val="Normal"/>
    <w:semiHidden/>
    <w:rsid w:val="005673B8"/>
    <w:pPr>
      <w:keepLines/>
      <w:tabs>
        <w:tab w:val="center" w:pos="4320"/>
        <w:tab w:val="right" w:pos="8640"/>
      </w:tabs>
      <w:spacing w:before="600" w:line="240" w:lineRule="atLeast"/>
      <w:ind w:right="-240"/>
      <w:jc w:val="center"/>
    </w:pPr>
    <w:rPr>
      <w:kern w:val="18"/>
    </w:rPr>
  </w:style>
  <w:style w:type="paragraph" w:styleId="Header">
    <w:name w:val="header"/>
    <w:basedOn w:val="Normal"/>
    <w:semiHidden/>
    <w:rsid w:val="005673B8"/>
    <w:pPr>
      <w:keepLines/>
      <w:tabs>
        <w:tab w:val="center" w:pos="4320"/>
        <w:tab w:val="right" w:pos="8640"/>
      </w:tabs>
      <w:spacing w:after="660" w:line="240" w:lineRule="atLeast"/>
      <w:jc w:val="center"/>
    </w:pPr>
    <w:rPr>
      <w:caps/>
      <w:kern w:val="18"/>
      <w:sz w:val="18"/>
    </w:rPr>
  </w:style>
  <w:style w:type="paragraph" w:styleId="MessageHeader">
    <w:name w:val="Message Header"/>
    <w:basedOn w:val="BodyText"/>
    <w:semiHidden/>
    <w:rsid w:val="00F37651"/>
    <w:pPr>
      <w:keepLines/>
      <w:spacing w:after="120"/>
      <w:ind w:left="1080" w:hanging="1080"/>
    </w:pPr>
    <w:rPr>
      <w:caps/>
      <w:sz w:val="18"/>
    </w:rPr>
  </w:style>
  <w:style w:type="paragraph" w:styleId="NormalIndent">
    <w:name w:val="Normal Indent"/>
    <w:basedOn w:val="Normal"/>
    <w:semiHidden/>
    <w:rsid w:val="00F37651"/>
    <w:pPr>
      <w:ind w:left="720"/>
    </w:pPr>
  </w:style>
  <w:style w:type="character" w:styleId="PageNumber">
    <w:name w:val="page number"/>
    <w:semiHidden/>
    <w:rsid w:val="00F37651"/>
  </w:style>
  <w:style w:type="paragraph" w:styleId="Signature">
    <w:name w:val="Signature"/>
    <w:basedOn w:val="BodyText"/>
    <w:next w:val="Normal"/>
    <w:semiHidden/>
    <w:rsid w:val="00F37651"/>
    <w:pPr>
      <w:keepNext/>
      <w:keepLines/>
      <w:spacing w:before="660"/>
    </w:pPr>
  </w:style>
  <w:style w:type="character" w:customStyle="1" w:styleId="BodyTextChar">
    <w:name w:val="Body Text Char"/>
    <w:basedOn w:val="DefaultParagraphFont"/>
    <w:link w:val="BodyText"/>
    <w:rsid w:val="00F358EA"/>
    <w:rPr>
      <w:rFonts w:asciiTheme="minorHAnsi" w:hAnsiTheme="minorHAnsi"/>
      <w:sz w:val="22"/>
    </w:rPr>
  </w:style>
  <w:style w:type="paragraph" w:styleId="BalloonText">
    <w:name w:val="Balloon Text"/>
    <w:basedOn w:val="Normal"/>
    <w:link w:val="BalloonTextChar"/>
    <w:uiPriority w:val="99"/>
    <w:semiHidden/>
    <w:unhideWhenUsed/>
    <w:rsid w:val="000D4049"/>
    <w:rPr>
      <w:rFonts w:ascii="Tahoma" w:hAnsi="Tahoma" w:cs="Tahoma"/>
      <w:sz w:val="16"/>
      <w:szCs w:val="16"/>
    </w:rPr>
  </w:style>
  <w:style w:type="character" w:customStyle="1" w:styleId="BalloonTextChar">
    <w:name w:val="Balloon Text Char"/>
    <w:basedOn w:val="DefaultParagraphFont"/>
    <w:link w:val="BalloonText"/>
    <w:uiPriority w:val="99"/>
    <w:semiHidden/>
    <w:rsid w:val="000D4049"/>
    <w:rPr>
      <w:rFonts w:ascii="Tahoma" w:hAnsi="Tahoma" w:cs="Tahoma"/>
      <w:sz w:val="16"/>
      <w:szCs w:val="16"/>
    </w:rPr>
  </w:style>
  <w:style w:type="paragraph" w:styleId="Title">
    <w:name w:val="Title"/>
    <w:basedOn w:val="Normal"/>
    <w:next w:val="Normal"/>
    <w:link w:val="TitleChar"/>
    <w:uiPriority w:val="10"/>
    <w:unhideWhenUsed/>
    <w:qFormat/>
    <w:rsid w:val="005673B8"/>
    <w:pPr>
      <w:pBdr>
        <w:top w:val="double" w:sz="6" w:space="8" w:color="404040" w:themeColor="text1" w:themeTint="BF"/>
        <w:bottom w:val="double" w:sz="6" w:space="8" w:color="404040" w:themeColor="text1" w:themeTint="BF"/>
      </w:pBdr>
      <w:spacing w:after="200"/>
      <w:jc w:val="center"/>
    </w:pPr>
    <w:rPr>
      <w:rFonts w:asciiTheme="majorHAnsi" w:hAnsiTheme="majorHAnsi"/>
      <w:b/>
      <w:caps/>
      <w:spacing w:val="20"/>
      <w:sz w:val="18"/>
    </w:rPr>
  </w:style>
  <w:style w:type="character" w:customStyle="1" w:styleId="TitleChar">
    <w:name w:val="Title Char"/>
    <w:basedOn w:val="DefaultParagraphFont"/>
    <w:link w:val="Title"/>
    <w:uiPriority w:val="10"/>
    <w:rsid w:val="00F358EA"/>
    <w:rPr>
      <w:rFonts w:asciiTheme="majorHAnsi" w:hAnsiTheme="majorHAnsi"/>
      <w:b/>
      <w:caps/>
      <w:spacing w:val="20"/>
      <w:sz w:val="18"/>
    </w:rPr>
  </w:style>
  <w:style w:type="table" w:styleId="TableGrid">
    <w:name w:val="Table Grid"/>
    <w:basedOn w:val="TableNormal"/>
    <w:uiPriority w:val="59"/>
    <w:rsid w:val="005673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5673B8"/>
    <w:rPr>
      <w:color w:val="808080"/>
    </w:rPr>
  </w:style>
  <w:style w:type="paragraph" w:styleId="ListParagraph">
    <w:name w:val="List Paragraph"/>
    <w:basedOn w:val="Normal"/>
    <w:uiPriority w:val="34"/>
    <w:qFormat/>
    <w:rsid w:val="001424B5"/>
    <w:pPr>
      <w:ind w:left="720"/>
    </w:pPr>
    <w:rPr>
      <w:rFonts w:ascii="Calibri" w:eastAsiaTheme="minorHAns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Garamond" w:hAnsi="Garamond"/>
      <w:sz w:val="22"/>
    </w:rPr>
  </w:style>
  <w:style w:type="paragraph" w:styleId="Heading1">
    <w:name w:val="heading 1"/>
    <w:basedOn w:val="Normal"/>
    <w:next w:val="BodyText"/>
    <w:qFormat/>
    <w:pPr>
      <w:keepNext/>
      <w:keepLines/>
      <w:spacing w:after="180" w:line="240" w:lineRule="atLeast"/>
      <w:jc w:val="center"/>
      <w:outlineLvl w:val="0"/>
    </w:pPr>
    <w:rPr>
      <w:caps/>
      <w:spacing w:val="20"/>
      <w:kern w:val="20"/>
      <w:sz w:val="18"/>
    </w:rPr>
  </w:style>
  <w:style w:type="paragraph" w:styleId="Heading2">
    <w:name w:val="heading 2"/>
    <w:basedOn w:val="Normal"/>
    <w:next w:val="BodyText"/>
    <w:qFormat/>
    <w:pPr>
      <w:keepNext/>
      <w:keepLines/>
      <w:spacing w:after="170" w:line="240" w:lineRule="atLeast"/>
      <w:outlineLvl w:val="1"/>
    </w:pPr>
    <w:rPr>
      <w:caps/>
      <w:kern w:val="20"/>
    </w:rPr>
  </w:style>
  <w:style w:type="paragraph" w:styleId="Heading3">
    <w:name w:val="heading 3"/>
    <w:basedOn w:val="Normal"/>
    <w:next w:val="BodyText"/>
    <w:qFormat/>
    <w:pPr>
      <w:keepNext/>
      <w:keepLines/>
      <w:spacing w:after="240" w:line="240" w:lineRule="atLeast"/>
      <w:outlineLvl w:val="2"/>
    </w:pPr>
    <w:rPr>
      <w:i/>
      <w:kern w:val="20"/>
    </w:rPr>
  </w:style>
  <w:style w:type="paragraph" w:styleId="Heading4">
    <w:name w:val="heading 4"/>
    <w:basedOn w:val="Normal"/>
    <w:next w:val="BodyText"/>
    <w:qFormat/>
    <w:pPr>
      <w:keepNext/>
      <w:keepLines/>
      <w:spacing w:line="240" w:lineRule="atLeast"/>
      <w:outlineLvl w:val="3"/>
    </w:pPr>
    <w:rPr>
      <w:caps/>
      <w:kern w:val="20"/>
      <w:sz w:val="18"/>
    </w:rPr>
  </w:style>
  <w:style w:type="paragraph" w:styleId="Heading5">
    <w:name w:val="heading 5"/>
    <w:basedOn w:val="Normal"/>
    <w:next w:val="BodyText"/>
    <w:qFormat/>
    <w:pPr>
      <w:keepNext/>
      <w:keepLines/>
      <w:spacing w:line="240" w:lineRule="atLeast"/>
      <w:outlineLvl w:val="4"/>
    </w:pPr>
    <w:rPr>
      <w:kern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spacing w:after="240" w:line="240" w:lineRule="atLeast"/>
      <w:ind w:firstLine="360"/>
      <w:jc w:val="both"/>
    </w:pPr>
  </w:style>
  <w:style w:type="paragraph" w:styleId="Closing">
    <w:name w:val="Closing"/>
    <w:basedOn w:val="Normal"/>
    <w:next w:val="Normal"/>
    <w:semiHidden/>
    <w:pPr>
      <w:spacing w:line="220" w:lineRule="atLeast"/>
    </w:pPr>
  </w:style>
  <w:style w:type="paragraph" w:customStyle="1" w:styleId="Footer">
    <w:name w:val="Company Name"/>
    <w:basedOn w:val="BodyText"/>
    <w:pPr>
      <w:keepLines/>
      <w:framePr w:w="8640" w:h="1440" w:wrap="notBeside" w:vAnchor="page" w:hAnchor="margin" w:xAlign="center" w:y="889"/>
      <w:spacing w:after="40"/>
      <w:ind w:firstLine="0"/>
      <w:jc w:val="center"/>
    </w:pPr>
    <w:rPr>
      <w:caps/>
      <w:spacing w:val="75"/>
    </w:rPr>
  </w:style>
  <w:style w:type="paragraph" w:customStyle="1" w:styleId="Header">
    <w:name w:val="Document Label"/>
    <w:next w:val="Normal"/>
    <w:pPr>
      <w:pBdr>
        <w:top w:val="double" w:sz="6" w:space="8" w:color="808080"/>
        <w:bottom w:val="double" w:sz="6" w:space="8" w:color="808080"/>
      </w:pBdr>
      <w:spacing w:after="40" w:line="240" w:lineRule="atLeast"/>
      <w:jc w:val="center"/>
    </w:pPr>
    <w:rPr>
      <w:rFonts w:ascii="Garamond" w:hAnsi="Garamond"/>
      <w:b/>
      <w:caps/>
      <w:spacing w:val="20"/>
      <w:sz w:val="18"/>
    </w:rPr>
  </w:style>
  <w:style w:type="paragraph" w:customStyle="1" w:styleId="MessageHeader">
    <w:name w:val="Enclosure"/>
    <w:basedOn w:val="BodyText"/>
    <w:next w:val="Normal"/>
    <w:pPr>
      <w:keepLines/>
      <w:spacing w:before="220"/>
      <w:ind w:firstLine="0"/>
    </w:pPr>
  </w:style>
  <w:style w:type="paragraph" w:customStyle="1" w:styleId="NormalIndent">
    <w:name w:val="Header Base"/>
    <w:basedOn w:val="BodyText"/>
    <w:pPr>
      <w:keepLines/>
      <w:tabs>
        <w:tab w:val="center" w:pos="4320"/>
        <w:tab w:val="right" w:pos="8640"/>
      </w:tabs>
      <w:spacing w:after="0"/>
    </w:pPr>
  </w:style>
  <w:style w:type="paragraph" w:styleId="PageNumber">
    <w:name w:val="footer"/>
    <w:basedOn w:val="NormalIndent"/>
    <w:semiHidden/>
    <w:pPr>
      <w:spacing w:before="600"/>
      <w:ind w:right="-240" w:firstLine="0"/>
      <w:jc w:val="center"/>
    </w:pPr>
    <w:rPr>
      <w:kern w:val="18"/>
    </w:rPr>
  </w:style>
  <w:style w:type="paragraph" w:styleId="Signature">
    <w:name w:val="header"/>
    <w:basedOn w:val="NormalIndent"/>
    <w:semiHidden/>
    <w:pPr>
      <w:spacing w:after="660"/>
      <w:ind w:firstLine="0"/>
      <w:jc w:val="center"/>
    </w:pPr>
    <w:rPr>
      <w:caps/>
      <w:kern w:val="18"/>
      <w:sz w:val="18"/>
    </w:rPr>
  </w:style>
  <w:style w:type="paragraph" w:customStyle="1" w:styleId="BodyTextChar">
    <w:name w:val="Heading Base"/>
    <w:basedOn w:val="BodyText"/>
    <w:next w:val="BodyText"/>
    <w:pPr>
      <w:keepNext/>
      <w:keepLines/>
      <w:spacing w:after="0"/>
      <w:ind w:firstLine="0"/>
      <w:jc w:val="left"/>
    </w:pPr>
    <w:rPr>
      <w:kern w:val="20"/>
    </w:rPr>
  </w:style>
  <w:style w:type="paragraph" w:styleId="BalloonText">
    <w:name w:val="Message Header"/>
    <w:basedOn w:val="BodyText"/>
    <w:semiHidden/>
    <w:pPr>
      <w:keepLines/>
      <w:spacing w:after="120"/>
      <w:ind w:left="1080" w:hanging="1080"/>
      <w:jc w:val="left"/>
    </w:pPr>
    <w:rPr>
      <w:caps/>
      <w:sz w:val="18"/>
    </w:rPr>
  </w:style>
  <w:style w:type="paragraph" w:customStyle="1" w:styleId="BalloonTextChar">
    <w:name w:val="Message Header First"/>
    <w:basedOn w:val="BalloonText"/>
    <w:next w:val="BalloonText"/>
    <w:pPr>
      <w:spacing w:before="360"/>
    </w:pPr>
  </w:style>
  <w:style w:type="character" w:customStyle="1" w:styleId="Title">
    <w:name w:val="Message Header Label"/>
    <w:rPr>
      <w:b/>
      <w:sz w:val="18"/>
    </w:rPr>
  </w:style>
  <w:style w:type="paragraph" w:customStyle="1" w:styleId="TitleChar">
    <w:name w:val="Message Header Last"/>
    <w:basedOn w:val="BalloonText"/>
    <w:next w:val="BodyText"/>
    <w:pPr>
      <w:pBdr>
        <w:bottom w:val="single" w:sz="6" w:space="18" w:color="808080"/>
      </w:pBdr>
      <w:spacing w:after="360"/>
    </w:pPr>
  </w:style>
  <w:style w:type="paragraph" w:styleId="TableGrid">
    <w:name w:val="Normal Indent"/>
    <w:basedOn w:val="Normal"/>
    <w:semiHidden/>
    <w:pPr>
      <w:ind w:left="720"/>
    </w:pPr>
  </w:style>
  <w:style w:type="character" w:styleId="PlaceholderText">
    <w:name w:val="page number"/>
    <w:semiHidden/>
  </w:style>
  <w:style w:type="paragraph" w:customStyle="1" w:styleId="ListParagraph">
    <w:name w:val="Return Address"/>
    <w:pPr>
      <w:framePr w:w="8640" w:hSpace="187" w:vSpace="187" w:wrap="notBeside" w:vAnchor="page" w:hAnchor="margin" w:xAlign="center" w:y="14401" w:anchorLock="1"/>
      <w:spacing w:line="240" w:lineRule="atLeast"/>
      <w:ind w:right="-240"/>
      <w:jc w:val="center"/>
    </w:pPr>
    <w:rPr>
      <w:rFonts w:ascii="Garamond" w:hAnsi="Garamond"/>
      <w:caps/>
      <w:spacing w:val="30"/>
      <w:sz w:val="15"/>
    </w:rPr>
  </w:style>
  <w:style w:type="paragraph" w:styleId="Signature0">
    <w:name w:val="Signature"/>
    <w:basedOn w:val="BodyText"/>
    <w:next w:val="Normal"/>
    <w:semiHidden/>
    <w:pPr>
      <w:keepNext/>
      <w:keepLines/>
      <w:spacing w:before="660" w:after="0"/>
    </w:pPr>
  </w:style>
  <w:style w:type="paragraph" w:customStyle="1" w:styleId="SignatureJobTitle">
    <w:name w:val="Signature Job Title"/>
    <w:basedOn w:val="Signature0"/>
    <w:next w:val="Normal"/>
    <w:pPr>
      <w:spacing w:before="0"/>
      <w:ind w:firstLine="0"/>
    </w:pPr>
  </w:style>
  <w:style w:type="paragraph" w:customStyle="1" w:styleId="SignatureName">
    <w:name w:val="Signature Name"/>
    <w:basedOn w:val="Signature0"/>
    <w:next w:val="SignatureJobTitle"/>
    <w:pPr>
      <w:ind w:firstLine="0"/>
    </w:pPr>
  </w:style>
  <w:style w:type="character" w:customStyle="1" w:styleId="Slogan">
    <w:name w:val="Slogan"/>
    <w:basedOn w:val="DefaultParagraphFont"/>
    <w:rPr>
      <w:i/>
      <w:spacing w:val="70"/>
      <w:sz w:val="21"/>
    </w:rPr>
  </w:style>
  <w:style w:type="paragraph" w:styleId="BalloonText0">
    <w:name w:val="Balloon Text"/>
    <w:basedOn w:val="Normal"/>
    <w:link w:val="BalloonTextChar0"/>
    <w:uiPriority w:val="99"/>
    <w:semiHidden/>
    <w:unhideWhenUsed/>
    <w:rsid w:val="000D4049"/>
    <w:rPr>
      <w:rFonts w:ascii="Tahoma" w:hAnsi="Tahoma" w:cs="Tahoma"/>
      <w:sz w:val="16"/>
      <w:szCs w:val="16"/>
    </w:rPr>
  </w:style>
  <w:style w:type="character" w:customStyle="1" w:styleId="BalloonTextChar0">
    <w:name w:val="Balloon Text Char"/>
    <w:basedOn w:val="DefaultParagraphFont"/>
    <w:link w:val="BalloonText0"/>
    <w:uiPriority w:val="99"/>
    <w:semiHidden/>
    <w:rsid w:val="000D404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allen.OPRA\AppData\Roaming\Microsoft\Templates\MS_ElegantMemo.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83DDEF6C023E418F83CA4AFDABFF493E"/>
        <w:category>
          <w:name w:val="General"/>
          <w:gallery w:val="placeholder"/>
        </w:category>
        <w:types>
          <w:type w:val="bbPlcHdr"/>
        </w:types>
        <w:behaviors>
          <w:behavior w:val="content"/>
        </w:behaviors>
        <w:guid w:val="{49999ACF-9D08-45DC-8585-82518A93F5C1}"/>
      </w:docPartPr>
      <w:docPartBody>
        <w:p w:rsidR="008C4EE2" w:rsidRDefault="008C4EE2">
          <w:pPr>
            <w:pStyle w:val="83DDEF6C023E418F83CA4AFDABFF493E"/>
          </w:pPr>
          <w:r w:rsidRPr="005673B8">
            <w:t>[Click to Select Date]</w:t>
          </w:r>
        </w:p>
      </w:docPartBody>
    </w:docPart>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8C4EE2"/>
    <w:rsid w:val="001E4BEF"/>
    <w:rsid w:val="008C4EE2"/>
    <w:rsid w:val="00A306F0"/>
    <w:rsid w:val="00C057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57C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C3BBEDAE38A4E3CAB050A0119448B25">
    <w:name w:val="EC3BBEDAE38A4E3CAB050A0119448B25"/>
    <w:rsid w:val="00C057CC"/>
  </w:style>
  <w:style w:type="paragraph" w:customStyle="1" w:styleId="250E6F84E9EB4779B4B75BD20CF16460">
    <w:name w:val="250E6F84E9EB4779B4B75BD20CF16460"/>
    <w:rsid w:val="00C057CC"/>
  </w:style>
  <w:style w:type="paragraph" w:customStyle="1" w:styleId="5A3B63BD43D44A08A2881AA2485F2F99">
    <w:name w:val="5A3B63BD43D44A08A2881AA2485F2F99"/>
    <w:rsid w:val="00C057CC"/>
  </w:style>
  <w:style w:type="paragraph" w:customStyle="1" w:styleId="83DDEF6C023E418F83CA4AFDABFF493E">
    <w:name w:val="83DDEF6C023E418F83CA4AFDABFF493E"/>
    <w:rsid w:val="00C057CC"/>
  </w:style>
  <w:style w:type="paragraph" w:customStyle="1" w:styleId="DE81E7F1DC5242309760485345C26ABE">
    <w:name w:val="DE81E7F1DC5242309760485345C26ABE"/>
    <w:rsid w:val="00C057CC"/>
  </w:style>
  <w:style w:type="paragraph" w:customStyle="1" w:styleId="9AA5EAF26CF64E7C9F4B2F203C1A1EDB">
    <w:name w:val="9AA5EAF26CF64E7C9F4B2F203C1A1EDB"/>
    <w:rsid w:val="00C057CC"/>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Memo">
      <a:majorFont>
        <a:latin typeface="Garamond"/>
        <a:ea typeface=""/>
        <a:cs typeface=""/>
      </a:majorFont>
      <a:minorFont>
        <a:latin typeface="Garamond"/>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Props1.xml><?xml version="1.0" encoding="utf-8"?>
<ds:datastoreItem xmlns:ds="http://schemas.openxmlformats.org/officeDocument/2006/customXml" ds:itemID="{C6421624-DA34-4587-B1D2-19BD84B16E9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MS_ElegantMemo</Template>
  <TotalTime>370</TotalTime>
  <Pages>4</Pages>
  <Words>1538</Words>
  <Characters>8227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Memo (Elegant design)</vt:lpstr>
    </vt:vector>
  </TitlesOfParts>
  <Company/>
  <LinksUpToDate>false</LinksUpToDate>
  <CharactersWithSpaces>9746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 (Elegant design)</dc:title>
  <dc:creator>Anita Allen</dc:creator>
  <cp:lastModifiedBy>pvanrunkle</cp:lastModifiedBy>
  <cp:revision>24</cp:revision>
  <cp:lastPrinted>2014-09-26T14:01:00Z</cp:lastPrinted>
  <dcterms:created xsi:type="dcterms:W3CDTF">2014-09-28T15:34:00Z</dcterms:created>
  <dcterms:modified xsi:type="dcterms:W3CDTF">2014-09-28T17:54:00Z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TC010129231033</vt:lpwstr>
  </property>
</Properties>
</file>