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71C83" w14:textId="0E709578" w:rsidR="009209B0" w:rsidRPr="00504530" w:rsidRDefault="00817ABC" w:rsidP="00817ABC">
      <w:pPr>
        <w:widowControl/>
        <w:spacing w:before="150" w:after="150" w:line="240" w:lineRule="auto"/>
        <w:jc w:val="center"/>
        <w:outlineLvl w:val="3"/>
        <w:rPr>
          <w:b/>
          <w:color w:val="000000" w:themeColor="text1"/>
          <w:sz w:val="28"/>
          <w:szCs w:val="28"/>
          <w:lang w:val="en-US"/>
        </w:rPr>
      </w:pPr>
      <w:r>
        <w:rPr>
          <w:b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2DC1D07" wp14:editId="7502AE6B">
            <wp:simplePos x="0" y="0"/>
            <wp:positionH relativeFrom="column">
              <wp:posOffset>-563880</wp:posOffset>
            </wp:positionH>
            <wp:positionV relativeFrom="paragraph">
              <wp:posOffset>-434340</wp:posOffset>
            </wp:positionV>
            <wp:extent cx="1036320" cy="565731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86" cy="57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E77">
        <w:rPr>
          <w:b/>
          <w:color w:val="000000" w:themeColor="text1"/>
          <w:sz w:val="28"/>
          <w:szCs w:val="28"/>
          <w:lang w:val="en-US"/>
        </w:rPr>
        <w:t>2020</w:t>
      </w:r>
      <w:r w:rsidR="000F4BCB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9209B0" w:rsidRPr="00504530">
        <w:rPr>
          <w:b/>
          <w:color w:val="000000" w:themeColor="text1"/>
          <w:sz w:val="28"/>
          <w:szCs w:val="28"/>
          <w:lang w:val="en-US"/>
        </w:rPr>
        <w:t>EMPLOYEE BENEFITS</w:t>
      </w:r>
    </w:p>
    <w:p w14:paraId="664D9226" w14:textId="77777777" w:rsidR="009209B0" w:rsidRPr="00504530" w:rsidRDefault="009209B0" w:rsidP="009209B0">
      <w:pPr>
        <w:widowControl/>
        <w:spacing w:before="150" w:after="150" w:line="240" w:lineRule="auto"/>
        <w:jc w:val="both"/>
        <w:outlineLvl w:val="3"/>
        <w:rPr>
          <w:color w:val="000000" w:themeColor="text1"/>
          <w:lang w:val="en-US"/>
        </w:rPr>
      </w:pPr>
    </w:p>
    <w:p w14:paraId="7E6854B4" w14:textId="35616026" w:rsidR="009209B0" w:rsidRPr="00504530" w:rsidRDefault="009209B0" w:rsidP="004C6792">
      <w:pPr>
        <w:widowControl/>
        <w:spacing w:before="150" w:after="150" w:line="240" w:lineRule="auto"/>
        <w:jc w:val="both"/>
        <w:outlineLvl w:val="3"/>
        <w:rPr>
          <w:b/>
          <w:u w:val="single"/>
        </w:rPr>
      </w:pPr>
      <w:r w:rsidRPr="00504530">
        <w:rPr>
          <w:color w:val="000000" w:themeColor="text1"/>
          <w:lang w:val="en-US"/>
        </w:rPr>
        <w:t>The following is an outline of the benefits associated with full-time employment with OPRA.  If you have any questions regarding the information contained in this outline, please contact the OPRA President/CEO or designee.</w:t>
      </w:r>
    </w:p>
    <w:p w14:paraId="0386847E" w14:textId="0CC4FD4D" w:rsidR="009209B0" w:rsidRPr="00504530" w:rsidRDefault="00EC387F" w:rsidP="009209B0">
      <w:pPr>
        <w:rPr>
          <w:b/>
          <w:u w:val="single"/>
        </w:rPr>
      </w:pPr>
      <w:r>
        <w:rPr>
          <w:b/>
          <w:u w:val="single"/>
        </w:rPr>
        <w:t>Paid Time-</w:t>
      </w:r>
      <w:r w:rsidR="009209B0">
        <w:rPr>
          <w:b/>
          <w:u w:val="single"/>
        </w:rPr>
        <w:t>Off</w:t>
      </w:r>
    </w:p>
    <w:p w14:paraId="5A957611" w14:textId="1022DA1D" w:rsidR="009209B0" w:rsidRPr="00504530" w:rsidRDefault="00A435B5" w:rsidP="009209B0">
      <w:r>
        <w:t>Paid Time</w:t>
      </w:r>
      <w:r w:rsidR="00D020A0">
        <w:t>-</w:t>
      </w:r>
      <w:r>
        <w:t>Off (PTO) is time granted to employee</w:t>
      </w:r>
      <w:r w:rsidR="00BC2B43">
        <w:t>s</w:t>
      </w:r>
      <w:r>
        <w:t xml:space="preserve"> to use for vacations, personal days, illness, planned medical procedures and </w:t>
      </w:r>
      <w:r w:rsidR="00BC2B43">
        <w:t>doctors’</w:t>
      </w:r>
      <w:r>
        <w:t xml:space="preserve"> appointments.  </w:t>
      </w:r>
      <w:r w:rsidR="009209B0" w:rsidRPr="00504530">
        <w:t xml:space="preserve">The amount of leave awarded to the </w:t>
      </w:r>
      <w:bookmarkStart w:id="0" w:name="_GoBack"/>
      <w:bookmarkEnd w:id="0"/>
      <w:r w:rsidR="009209B0" w:rsidRPr="00504530">
        <w:t>employee is based on years of full-time service in the developmental disabilities field</w:t>
      </w:r>
      <w:r w:rsidR="00EA2D61">
        <w:t xml:space="preserve"> and/or experience relevant to you position</w:t>
      </w:r>
      <w:r w:rsidR="009209B0" w:rsidRPr="00504530">
        <w:t>.  The amount of leave will be awarded as follows:</w:t>
      </w:r>
    </w:p>
    <w:p w14:paraId="32DF4F08" w14:textId="77777777" w:rsidR="009209B0" w:rsidRPr="00504530" w:rsidRDefault="009209B0" w:rsidP="009209B0"/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3510"/>
        <w:gridCol w:w="3330"/>
      </w:tblGrid>
      <w:tr w:rsidR="009209B0" w:rsidRPr="00504530" w14:paraId="65CABD7C" w14:textId="77777777" w:rsidTr="000E6303">
        <w:tc>
          <w:tcPr>
            <w:tcW w:w="3510" w:type="dxa"/>
            <w:shd w:val="clear" w:color="auto" w:fill="9CC2E5" w:themeFill="accent1" w:themeFillTint="99"/>
          </w:tcPr>
          <w:p w14:paraId="3BE7AC1D" w14:textId="4DEF6F4E" w:rsidR="009209B0" w:rsidRPr="000E6303" w:rsidRDefault="009209B0" w:rsidP="008522F4">
            <w:pPr>
              <w:jc w:val="center"/>
              <w:rPr>
                <w:b/>
              </w:rPr>
            </w:pPr>
            <w:r w:rsidRPr="000E6303">
              <w:rPr>
                <w:b/>
              </w:rPr>
              <w:t>Years of Experience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14:paraId="41C2B5F1" w14:textId="758DF560" w:rsidR="009209B0" w:rsidRPr="000E6303" w:rsidRDefault="009209B0" w:rsidP="004C6792">
            <w:pPr>
              <w:jc w:val="center"/>
              <w:rPr>
                <w:b/>
              </w:rPr>
            </w:pPr>
            <w:r w:rsidRPr="000E6303">
              <w:rPr>
                <w:b/>
              </w:rPr>
              <w:t xml:space="preserve">Amount of </w:t>
            </w:r>
            <w:r w:rsidR="005A162B" w:rsidRPr="000E6303">
              <w:rPr>
                <w:b/>
              </w:rPr>
              <w:t>PTO</w:t>
            </w:r>
          </w:p>
        </w:tc>
      </w:tr>
      <w:tr w:rsidR="009209B0" w:rsidRPr="00504530" w14:paraId="3DE24358" w14:textId="77777777" w:rsidTr="000E6303">
        <w:tc>
          <w:tcPr>
            <w:tcW w:w="3510" w:type="dxa"/>
          </w:tcPr>
          <w:p w14:paraId="2DD41D35" w14:textId="7938E32B" w:rsidR="009209B0" w:rsidRPr="00504530" w:rsidRDefault="00EC387F" w:rsidP="004C6792">
            <w:pPr>
              <w:jc w:val="center"/>
            </w:pPr>
            <w:r>
              <w:t>0</w:t>
            </w:r>
            <w:r w:rsidR="004C6792">
              <w:t>-2 years</w:t>
            </w:r>
          </w:p>
        </w:tc>
        <w:tc>
          <w:tcPr>
            <w:tcW w:w="3330" w:type="dxa"/>
          </w:tcPr>
          <w:p w14:paraId="3D7147F4" w14:textId="6F259407" w:rsidR="009209B0" w:rsidRPr="00504530" w:rsidRDefault="004C6792" w:rsidP="004C6792">
            <w:pPr>
              <w:jc w:val="center"/>
            </w:pPr>
            <w:r>
              <w:t>18 d</w:t>
            </w:r>
            <w:r w:rsidR="000804B4">
              <w:t>ays</w:t>
            </w:r>
          </w:p>
        </w:tc>
      </w:tr>
      <w:tr w:rsidR="009209B0" w:rsidRPr="00504530" w14:paraId="7FE75483" w14:textId="77777777" w:rsidTr="000E6303">
        <w:tc>
          <w:tcPr>
            <w:tcW w:w="3510" w:type="dxa"/>
          </w:tcPr>
          <w:p w14:paraId="2C3E496F" w14:textId="5AEA2747" w:rsidR="009209B0" w:rsidRPr="00504530" w:rsidRDefault="004C6792" w:rsidP="004C6792">
            <w:pPr>
              <w:jc w:val="center"/>
            </w:pPr>
            <w:r>
              <w:t>3-4 years</w:t>
            </w:r>
          </w:p>
        </w:tc>
        <w:tc>
          <w:tcPr>
            <w:tcW w:w="3330" w:type="dxa"/>
          </w:tcPr>
          <w:p w14:paraId="6C93DF38" w14:textId="0FACD445" w:rsidR="009209B0" w:rsidRPr="00504530" w:rsidRDefault="004C6792" w:rsidP="004C6792">
            <w:pPr>
              <w:jc w:val="center"/>
            </w:pPr>
            <w:r>
              <w:t>19</w:t>
            </w:r>
            <w:r w:rsidR="000804B4">
              <w:t xml:space="preserve"> days</w:t>
            </w:r>
          </w:p>
        </w:tc>
      </w:tr>
      <w:tr w:rsidR="004C6792" w:rsidRPr="00504530" w14:paraId="46A83EEA" w14:textId="77777777" w:rsidTr="000E6303">
        <w:tc>
          <w:tcPr>
            <w:tcW w:w="3510" w:type="dxa"/>
          </w:tcPr>
          <w:p w14:paraId="25ED73B5" w14:textId="2A0ECFB3" w:rsidR="004C6792" w:rsidRDefault="004C6792" w:rsidP="004C6792">
            <w:pPr>
              <w:jc w:val="center"/>
            </w:pPr>
            <w:r>
              <w:t>5-6 years</w:t>
            </w:r>
          </w:p>
        </w:tc>
        <w:tc>
          <w:tcPr>
            <w:tcW w:w="3330" w:type="dxa"/>
          </w:tcPr>
          <w:p w14:paraId="217CAA91" w14:textId="74581B21" w:rsidR="004C6792" w:rsidRDefault="004C6792" w:rsidP="004C6792">
            <w:pPr>
              <w:jc w:val="center"/>
            </w:pPr>
            <w:r>
              <w:t>22 days</w:t>
            </w:r>
          </w:p>
        </w:tc>
      </w:tr>
      <w:tr w:rsidR="004C6792" w:rsidRPr="00504530" w14:paraId="22A0A9AE" w14:textId="77777777" w:rsidTr="000E6303">
        <w:tc>
          <w:tcPr>
            <w:tcW w:w="3510" w:type="dxa"/>
          </w:tcPr>
          <w:p w14:paraId="2AF35C4F" w14:textId="009E209A" w:rsidR="004C6792" w:rsidRDefault="004C6792" w:rsidP="004C6792">
            <w:pPr>
              <w:jc w:val="center"/>
            </w:pPr>
            <w:r>
              <w:t>7-8 years</w:t>
            </w:r>
          </w:p>
        </w:tc>
        <w:tc>
          <w:tcPr>
            <w:tcW w:w="3330" w:type="dxa"/>
          </w:tcPr>
          <w:p w14:paraId="55290B3B" w14:textId="52AAA587" w:rsidR="004C6792" w:rsidRDefault="004C6792" w:rsidP="004C6792">
            <w:pPr>
              <w:jc w:val="center"/>
            </w:pPr>
            <w:r>
              <w:t>23 days</w:t>
            </w:r>
          </w:p>
        </w:tc>
      </w:tr>
      <w:tr w:rsidR="004C6792" w:rsidRPr="00504530" w14:paraId="2F8D5798" w14:textId="77777777" w:rsidTr="000E6303">
        <w:tc>
          <w:tcPr>
            <w:tcW w:w="3510" w:type="dxa"/>
          </w:tcPr>
          <w:p w14:paraId="68A21874" w14:textId="597D1722" w:rsidR="004C6792" w:rsidRPr="00504530" w:rsidRDefault="004C6792" w:rsidP="004C6792">
            <w:pPr>
              <w:jc w:val="center"/>
            </w:pPr>
            <w:r>
              <w:t>9-10 years</w:t>
            </w:r>
          </w:p>
        </w:tc>
        <w:tc>
          <w:tcPr>
            <w:tcW w:w="3330" w:type="dxa"/>
          </w:tcPr>
          <w:p w14:paraId="2D910584" w14:textId="40556DC5" w:rsidR="004C6792" w:rsidRPr="00504530" w:rsidRDefault="004C6792" w:rsidP="004C6792">
            <w:pPr>
              <w:jc w:val="center"/>
            </w:pPr>
            <w:r>
              <w:t>24 days</w:t>
            </w:r>
          </w:p>
        </w:tc>
      </w:tr>
      <w:tr w:rsidR="004C6792" w:rsidRPr="00504530" w14:paraId="546E5B1A" w14:textId="77777777" w:rsidTr="000E6303">
        <w:tc>
          <w:tcPr>
            <w:tcW w:w="3510" w:type="dxa"/>
          </w:tcPr>
          <w:p w14:paraId="31413E97" w14:textId="45F26B6E" w:rsidR="004C6792" w:rsidRDefault="004C6792" w:rsidP="004C6792">
            <w:pPr>
              <w:jc w:val="center"/>
            </w:pPr>
            <w:r>
              <w:t>11-15 years</w:t>
            </w:r>
          </w:p>
        </w:tc>
        <w:tc>
          <w:tcPr>
            <w:tcW w:w="3330" w:type="dxa"/>
          </w:tcPr>
          <w:p w14:paraId="2F0B0292" w14:textId="66A942D1" w:rsidR="004C6792" w:rsidRDefault="004C6792" w:rsidP="004C6792">
            <w:pPr>
              <w:jc w:val="center"/>
            </w:pPr>
            <w:r>
              <w:t>26 days</w:t>
            </w:r>
          </w:p>
        </w:tc>
      </w:tr>
      <w:tr w:rsidR="004C6792" w:rsidRPr="00504530" w14:paraId="1FFF8E1F" w14:textId="77777777" w:rsidTr="000E6303">
        <w:tc>
          <w:tcPr>
            <w:tcW w:w="3510" w:type="dxa"/>
          </w:tcPr>
          <w:p w14:paraId="7C7DCB1F" w14:textId="4A064F86" w:rsidR="004C6792" w:rsidRDefault="004C6792" w:rsidP="004C6792">
            <w:pPr>
              <w:jc w:val="center"/>
            </w:pPr>
            <w:r>
              <w:t>16+ years</w:t>
            </w:r>
          </w:p>
        </w:tc>
        <w:tc>
          <w:tcPr>
            <w:tcW w:w="3330" w:type="dxa"/>
          </w:tcPr>
          <w:p w14:paraId="00E65961" w14:textId="7848222F" w:rsidR="004C6792" w:rsidRDefault="004C6792" w:rsidP="004C6792">
            <w:pPr>
              <w:jc w:val="center"/>
            </w:pPr>
            <w:r>
              <w:t>28 days</w:t>
            </w:r>
          </w:p>
        </w:tc>
      </w:tr>
    </w:tbl>
    <w:p w14:paraId="5C66365D" w14:textId="77777777" w:rsidR="009209B0" w:rsidRPr="00504530" w:rsidRDefault="009209B0" w:rsidP="009209B0"/>
    <w:p w14:paraId="39BA57F6" w14:textId="0B18B123" w:rsidR="009209B0" w:rsidRPr="00103E41" w:rsidRDefault="006362CE" w:rsidP="004C6792">
      <w:pPr>
        <w:widowControl/>
        <w:autoSpaceDE/>
        <w:autoSpaceDN/>
        <w:adjustRightInd/>
        <w:spacing w:line="240" w:lineRule="auto"/>
        <w:rPr>
          <w:b/>
          <w:highlight w:val="yellow"/>
          <w:u w:val="single"/>
        </w:rPr>
      </w:pPr>
      <w:r>
        <w:t xml:space="preserve">Time is accrued per pay starting at the employee’s start/anniversary date.  </w:t>
      </w:r>
      <w:r w:rsidR="004C6792">
        <w:t>Employees may accumulate</w:t>
      </w:r>
      <w:r w:rsidR="000804B4">
        <w:t xml:space="preserve"> a maximum of </w:t>
      </w:r>
      <w:r w:rsidR="004C6792">
        <w:t>40 days of PTO</w:t>
      </w:r>
      <w:r w:rsidR="00A418C8" w:rsidRPr="001244EF">
        <w:rPr>
          <w:lang w:val="en-US"/>
        </w:rPr>
        <w:t>.</w:t>
      </w:r>
      <w:r w:rsidR="00881B56" w:rsidRPr="001244EF">
        <w:rPr>
          <w:lang w:val="en-US"/>
        </w:rPr>
        <w:t xml:space="preserve">  </w:t>
      </w:r>
    </w:p>
    <w:p w14:paraId="5398BB04" w14:textId="77777777" w:rsidR="004C6792" w:rsidRDefault="004C6792" w:rsidP="009209B0">
      <w:pPr>
        <w:rPr>
          <w:b/>
          <w:u w:val="single"/>
        </w:rPr>
      </w:pPr>
    </w:p>
    <w:p w14:paraId="3CCD507C" w14:textId="32DFED20" w:rsidR="009209B0" w:rsidRPr="001244EF" w:rsidRDefault="009209B0" w:rsidP="009209B0">
      <w:pPr>
        <w:rPr>
          <w:b/>
          <w:u w:val="single"/>
        </w:rPr>
      </w:pPr>
      <w:r w:rsidRPr="001244EF">
        <w:rPr>
          <w:b/>
          <w:u w:val="single"/>
        </w:rPr>
        <w:t>Emergency Leave</w:t>
      </w:r>
    </w:p>
    <w:p w14:paraId="2B956FE7" w14:textId="77777777" w:rsidR="009209B0" w:rsidRPr="001244EF" w:rsidRDefault="009209B0" w:rsidP="009209B0">
      <w:pPr>
        <w:rPr>
          <w:b/>
          <w:u w:val="single"/>
        </w:rPr>
      </w:pPr>
    </w:p>
    <w:p w14:paraId="1EF2B601" w14:textId="4E8DC550" w:rsidR="009209B0" w:rsidRPr="003B00FF" w:rsidRDefault="00BC2B43" w:rsidP="009209B0">
      <w:r>
        <w:t>In addition to PTO, i</w:t>
      </w:r>
      <w:r w:rsidR="009209B0" w:rsidRPr="001244EF">
        <w:t xml:space="preserve">f an employee encounters a medical situation that will require a long-term absence from work, the employee may request additional </w:t>
      </w:r>
      <w:r w:rsidR="00842779" w:rsidRPr="001244EF">
        <w:t xml:space="preserve">paid </w:t>
      </w:r>
      <w:r w:rsidR="009209B0" w:rsidRPr="001244EF">
        <w:t xml:space="preserve">“emergency leave” time </w:t>
      </w:r>
      <w:r w:rsidR="00842779" w:rsidRPr="001244EF">
        <w:t xml:space="preserve">or arrange for unpaid time off </w:t>
      </w:r>
      <w:r w:rsidR="009209B0" w:rsidRPr="001244EF">
        <w:t xml:space="preserve">from the President/CEO. </w:t>
      </w:r>
      <w:r w:rsidR="00881B56" w:rsidRPr="001244EF">
        <w:t>These requests will be handled on a case by case basis.</w:t>
      </w:r>
      <w:r w:rsidR="009209B0" w:rsidRPr="003B00FF">
        <w:t xml:space="preserve">  </w:t>
      </w:r>
    </w:p>
    <w:p w14:paraId="603D09F8" w14:textId="77777777" w:rsidR="009209B0" w:rsidRPr="00504530" w:rsidRDefault="009209B0" w:rsidP="009209B0"/>
    <w:p w14:paraId="20B4657C" w14:textId="77777777" w:rsidR="009209B0" w:rsidRPr="00504530" w:rsidRDefault="009209B0" w:rsidP="009209B0">
      <w:r w:rsidRPr="003B00FF">
        <w:rPr>
          <w:b/>
          <w:u w:val="single"/>
        </w:rPr>
        <w:t>HOLIDAYS</w:t>
      </w:r>
    </w:p>
    <w:p w14:paraId="43A5F939" w14:textId="3AFB6852" w:rsidR="009209B0" w:rsidRPr="00504530" w:rsidRDefault="009209B0" w:rsidP="009209B0">
      <w:r w:rsidRPr="00504530">
        <w:t xml:space="preserve">OPRA offers 10 paid holidays throughout the calendar year.  Employees have the opportunity to use one of the designated holidays on </w:t>
      </w:r>
      <w:r w:rsidR="00EC387F">
        <w:t>a different</w:t>
      </w:r>
      <w:r w:rsidRPr="00504530">
        <w:t xml:space="preserve"> day within that same calendar year.  For example, if the employee would like to work on President’s day and save that day to be used at a later date, for example, the day after Thanksgiving, the employee is permitted to do so when coordinated with the President/CEO or designee.</w:t>
      </w:r>
    </w:p>
    <w:p w14:paraId="5156DBDE" w14:textId="77777777" w:rsidR="009209B0" w:rsidRPr="00504530" w:rsidRDefault="009209B0" w:rsidP="009209B0"/>
    <w:p w14:paraId="442BBE6C" w14:textId="77777777" w:rsidR="00EC387F" w:rsidRDefault="00EC387F" w:rsidP="009209B0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contextualSpacing w:val="0"/>
        <w:rPr>
          <w:rFonts w:ascii="Arial" w:hAnsi="Arial" w:cs="Arial"/>
          <w:sz w:val="22"/>
        </w:rPr>
        <w:sectPr w:rsidR="00EC387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3DBD87" w14:textId="7C3624B9" w:rsidR="009209B0" w:rsidRPr="00504530" w:rsidRDefault="009209B0" w:rsidP="009209B0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contextualSpacing w:val="0"/>
        <w:rPr>
          <w:rFonts w:ascii="Arial" w:hAnsi="Arial" w:cs="Arial"/>
          <w:sz w:val="22"/>
        </w:rPr>
      </w:pPr>
      <w:r w:rsidRPr="00504530">
        <w:rPr>
          <w:rFonts w:ascii="Arial" w:hAnsi="Arial" w:cs="Arial"/>
          <w:sz w:val="22"/>
        </w:rPr>
        <w:t>New Year’s Day</w:t>
      </w:r>
    </w:p>
    <w:p w14:paraId="379C8A68" w14:textId="77777777" w:rsidR="009209B0" w:rsidRPr="00504530" w:rsidRDefault="009209B0" w:rsidP="009209B0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contextualSpacing w:val="0"/>
        <w:rPr>
          <w:rFonts w:ascii="Arial" w:hAnsi="Arial" w:cs="Arial"/>
          <w:sz w:val="22"/>
        </w:rPr>
      </w:pPr>
      <w:r w:rsidRPr="00504530">
        <w:rPr>
          <w:rFonts w:ascii="Arial" w:hAnsi="Arial" w:cs="Arial"/>
          <w:sz w:val="22"/>
        </w:rPr>
        <w:t>Martin Luther King Day</w:t>
      </w:r>
    </w:p>
    <w:p w14:paraId="0B7691A0" w14:textId="77777777" w:rsidR="009209B0" w:rsidRPr="00504530" w:rsidRDefault="009209B0" w:rsidP="009209B0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contextualSpacing w:val="0"/>
        <w:rPr>
          <w:rFonts w:ascii="Arial" w:hAnsi="Arial" w:cs="Arial"/>
          <w:sz w:val="22"/>
        </w:rPr>
      </w:pPr>
      <w:r w:rsidRPr="00504530">
        <w:rPr>
          <w:rFonts w:ascii="Arial" w:hAnsi="Arial" w:cs="Arial"/>
          <w:sz w:val="22"/>
        </w:rPr>
        <w:t>President’s Day</w:t>
      </w:r>
    </w:p>
    <w:p w14:paraId="5EBD526F" w14:textId="77777777" w:rsidR="009209B0" w:rsidRPr="00504530" w:rsidRDefault="009209B0" w:rsidP="009209B0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contextualSpacing w:val="0"/>
        <w:rPr>
          <w:rFonts w:ascii="Arial" w:hAnsi="Arial" w:cs="Arial"/>
          <w:sz w:val="22"/>
        </w:rPr>
      </w:pPr>
      <w:r w:rsidRPr="00504530">
        <w:rPr>
          <w:rFonts w:ascii="Arial" w:hAnsi="Arial" w:cs="Arial"/>
          <w:sz w:val="22"/>
        </w:rPr>
        <w:t>Memorial Day</w:t>
      </w:r>
    </w:p>
    <w:p w14:paraId="201045B7" w14:textId="77777777" w:rsidR="009209B0" w:rsidRPr="00504530" w:rsidRDefault="009209B0" w:rsidP="009209B0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contextualSpacing w:val="0"/>
        <w:rPr>
          <w:rFonts w:ascii="Arial" w:hAnsi="Arial" w:cs="Arial"/>
          <w:sz w:val="22"/>
        </w:rPr>
      </w:pPr>
      <w:r w:rsidRPr="00504530">
        <w:rPr>
          <w:rFonts w:ascii="Arial" w:hAnsi="Arial" w:cs="Arial"/>
          <w:sz w:val="22"/>
        </w:rPr>
        <w:t>July 4</w:t>
      </w:r>
      <w:r w:rsidRPr="00504530">
        <w:rPr>
          <w:rFonts w:ascii="Arial" w:hAnsi="Arial" w:cs="Arial"/>
          <w:sz w:val="22"/>
          <w:vertAlign w:val="superscript"/>
        </w:rPr>
        <w:t>th</w:t>
      </w:r>
    </w:p>
    <w:p w14:paraId="2B4F4BB5" w14:textId="77777777" w:rsidR="009209B0" w:rsidRPr="00504530" w:rsidRDefault="009209B0" w:rsidP="009209B0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contextualSpacing w:val="0"/>
        <w:rPr>
          <w:rFonts w:ascii="Arial" w:hAnsi="Arial" w:cs="Arial"/>
          <w:sz w:val="22"/>
        </w:rPr>
      </w:pPr>
      <w:r w:rsidRPr="00504530">
        <w:rPr>
          <w:rFonts w:ascii="Arial" w:hAnsi="Arial" w:cs="Arial"/>
          <w:sz w:val="22"/>
        </w:rPr>
        <w:t>Labor Day</w:t>
      </w:r>
    </w:p>
    <w:p w14:paraId="1C182A82" w14:textId="77777777" w:rsidR="009209B0" w:rsidRPr="00504530" w:rsidRDefault="009209B0" w:rsidP="009209B0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contextualSpacing w:val="0"/>
        <w:rPr>
          <w:rFonts w:ascii="Arial" w:hAnsi="Arial" w:cs="Arial"/>
          <w:sz w:val="22"/>
        </w:rPr>
      </w:pPr>
      <w:r w:rsidRPr="00504530">
        <w:rPr>
          <w:rFonts w:ascii="Arial" w:hAnsi="Arial" w:cs="Arial"/>
          <w:sz w:val="22"/>
        </w:rPr>
        <w:t>Columbus Day</w:t>
      </w:r>
    </w:p>
    <w:p w14:paraId="66238934" w14:textId="77777777" w:rsidR="009209B0" w:rsidRPr="00504530" w:rsidRDefault="009209B0" w:rsidP="009209B0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contextualSpacing w:val="0"/>
        <w:rPr>
          <w:rFonts w:ascii="Arial" w:hAnsi="Arial" w:cs="Arial"/>
          <w:sz w:val="22"/>
        </w:rPr>
      </w:pPr>
      <w:r w:rsidRPr="00504530">
        <w:rPr>
          <w:rFonts w:ascii="Arial" w:hAnsi="Arial" w:cs="Arial"/>
          <w:sz w:val="22"/>
        </w:rPr>
        <w:t>Veteran’s Day</w:t>
      </w:r>
    </w:p>
    <w:p w14:paraId="7C5370C5" w14:textId="77777777" w:rsidR="009209B0" w:rsidRPr="00504530" w:rsidRDefault="009209B0" w:rsidP="009209B0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contextualSpacing w:val="0"/>
        <w:rPr>
          <w:rFonts w:ascii="Arial" w:hAnsi="Arial" w:cs="Arial"/>
          <w:sz w:val="22"/>
        </w:rPr>
      </w:pPr>
      <w:r w:rsidRPr="00504530">
        <w:rPr>
          <w:rFonts w:ascii="Arial" w:hAnsi="Arial" w:cs="Arial"/>
          <w:sz w:val="22"/>
        </w:rPr>
        <w:t>Thanksgiving Day</w:t>
      </w:r>
    </w:p>
    <w:p w14:paraId="281A3073" w14:textId="77777777" w:rsidR="009209B0" w:rsidRPr="00504530" w:rsidRDefault="009209B0" w:rsidP="009209B0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contextualSpacing w:val="0"/>
        <w:rPr>
          <w:rFonts w:ascii="Arial" w:hAnsi="Arial" w:cs="Arial"/>
          <w:sz w:val="22"/>
        </w:rPr>
      </w:pPr>
      <w:r w:rsidRPr="00504530">
        <w:rPr>
          <w:rFonts w:ascii="Arial" w:hAnsi="Arial" w:cs="Arial"/>
          <w:sz w:val="22"/>
        </w:rPr>
        <w:t xml:space="preserve">Christmas Day </w:t>
      </w:r>
    </w:p>
    <w:p w14:paraId="5A367F0D" w14:textId="77777777" w:rsidR="00EC387F" w:rsidRDefault="00EC387F" w:rsidP="009209B0">
      <w:pPr>
        <w:sectPr w:rsidR="00EC387F" w:rsidSect="00EC387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FC1816C" w14:textId="5D3520C1" w:rsidR="009209B0" w:rsidRPr="00504530" w:rsidRDefault="009209B0" w:rsidP="009209B0"/>
    <w:p w14:paraId="77004ED2" w14:textId="77777777" w:rsidR="00EC387F" w:rsidRDefault="00EC387F" w:rsidP="009209B0">
      <w:pPr>
        <w:rPr>
          <w:b/>
          <w:u w:val="single"/>
        </w:rPr>
      </w:pPr>
    </w:p>
    <w:p w14:paraId="0D8ED751" w14:textId="77B507FC" w:rsidR="009209B0" w:rsidRPr="00504530" w:rsidRDefault="009209B0" w:rsidP="009209B0">
      <w:pPr>
        <w:rPr>
          <w:b/>
          <w:u w:val="single"/>
        </w:rPr>
      </w:pPr>
      <w:r w:rsidRPr="00504530">
        <w:rPr>
          <w:b/>
          <w:u w:val="single"/>
        </w:rPr>
        <w:t>Health-Related Benefits</w:t>
      </w:r>
    </w:p>
    <w:p w14:paraId="3BE6F20D" w14:textId="2FD76F2C" w:rsidR="009209B0" w:rsidRPr="00504530" w:rsidRDefault="009209B0" w:rsidP="009209B0">
      <w:r w:rsidRPr="00504530">
        <w:t>OPRA is proud to offer a wide range of health related benefits to the OPRA team.  The following highlights the benefits</w:t>
      </w:r>
      <w:r w:rsidR="00D020A0">
        <w:t>:</w:t>
      </w:r>
    </w:p>
    <w:p w14:paraId="25E0BC55" w14:textId="77777777" w:rsidR="009209B0" w:rsidRPr="00504530" w:rsidRDefault="009209B0" w:rsidP="009209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585"/>
        <w:gridCol w:w="2105"/>
        <w:gridCol w:w="1635"/>
        <w:gridCol w:w="1870"/>
      </w:tblGrid>
      <w:tr w:rsidR="00D020A0" w14:paraId="51DB9EBD" w14:textId="77777777" w:rsidTr="000E6303">
        <w:tc>
          <w:tcPr>
            <w:tcW w:w="2155" w:type="dxa"/>
            <w:shd w:val="clear" w:color="auto" w:fill="9CC2E5" w:themeFill="accent1" w:themeFillTint="99"/>
          </w:tcPr>
          <w:p w14:paraId="37A0B66C" w14:textId="77777777" w:rsidR="000E6303" w:rsidRDefault="000E6303" w:rsidP="000E6303">
            <w:pPr>
              <w:jc w:val="center"/>
              <w:rPr>
                <w:b/>
              </w:rPr>
            </w:pPr>
          </w:p>
          <w:p w14:paraId="7202B3F5" w14:textId="7E846196" w:rsidR="00D020A0" w:rsidRPr="000E6303" w:rsidRDefault="00D020A0" w:rsidP="000E6303">
            <w:pPr>
              <w:jc w:val="center"/>
              <w:rPr>
                <w:b/>
              </w:rPr>
            </w:pPr>
            <w:r w:rsidRPr="000E6303">
              <w:rPr>
                <w:b/>
              </w:rPr>
              <w:t>Type of Insurance</w:t>
            </w:r>
          </w:p>
        </w:tc>
        <w:tc>
          <w:tcPr>
            <w:tcW w:w="3690" w:type="dxa"/>
            <w:gridSpan w:val="2"/>
            <w:shd w:val="clear" w:color="auto" w:fill="9CC2E5" w:themeFill="accent1" w:themeFillTint="99"/>
          </w:tcPr>
          <w:p w14:paraId="22C839B2" w14:textId="77777777" w:rsidR="000E6303" w:rsidRDefault="000E6303" w:rsidP="000E6303">
            <w:pPr>
              <w:jc w:val="center"/>
              <w:rPr>
                <w:b/>
              </w:rPr>
            </w:pPr>
          </w:p>
          <w:p w14:paraId="362C16D3" w14:textId="77777777" w:rsidR="00D020A0" w:rsidRDefault="00D020A0" w:rsidP="000E6303">
            <w:pPr>
              <w:jc w:val="center"/>
              <w:rPr>
                <w:b/>
              </w:rPr>
            </w:pPr>
            <w:r w:rsidRPr="000E6303">
              <w:rPr>
                <w:b/>
              </w:rPr>
              <w:t>Single Coverage</w:t>
            </w:r>
          </w:p>
          <w:p w14:paraId="6D659F7C" w14:textId="2EBA250C" w:rsidR="000E6303" w:rsidRPr="000E6303" w:rsidRDefault="000E6303" w:rsidP="000E6303">
            <w:pPr>
              <w:rPr>
                <w:b/>
              </w:rPr>
            </w:pPr>
          </w:p>
        </w:tc>
        <w:tc>
          <w:tcPr>
            <w:tcW w:w="3505" w:type="dxa"/>
            <w:gridSpan w:val="2"/>
            <w:shd w:val="clear" w:color="auto" w:fill="9CC2E5" w:themeFill="accent1" w:themeFillTint="99"/>
          </w:tcPr>
          <w:p w14:paraId="146840A3" w14:textId="77777777" w:rsidR="000E6303" w:rsidRDefault="000E6303" w:rsidP="000E6303">
            <w:pPr>
              <w:jc w:val="center"/>
              <w:rPr>
                <w:b/>
              </w:rPr>
            </w:pPr>
          </w:p>
          <w:p w14:paraId="2CF51962" w14:textId="5474803B" w:rsidR="00D020A0" w:rsidRPr="000E6303" w:rsidRDefault="00D020A0" w:rsidP="000E6303">
            <w:pPr>
              <w:jc w:val="center"/>
              <w:rPr>
                <w:b/>
              </w:rPr>
            </w:pPr>
            <w:r w:rsidRPr="000E6303">
              <w:rPr>
                <w:b/>
              </w:rPr>
              <w:t>Family Coverage</w:t>
            </w:r>
          </w:p>
        </w:tc>
      </w:tr>
      <w:tr w:rsidR="00D020A0" w14:paraId="6755A219" w14:textId="77777777" w:rsidTr="000E6303">
        <w:tc>
          <w:tcPr>
            <w:tcW w:w="2155" w:type="dxa"/>
          </w:tcPr>
          <w:p w14:paraId="7165A634" w14:textId="5877D93E" w:rsidR="00D020A0" w:rsidRPr="000E6303" w:rsidRDefault="00D020A0" w:rsidP="000E6303">
            <w:pPr>
              <w:jc w:val="center"/>
              <w:rPr>
                <w:b/>
              </w:rPr>
            </w:pPr>
            <w:r w:rsidRPr="000E6303">
              <w:rPr>
                <w:b/>
              </w:rPr>
              <w:t>Health</w:t>
            </w:r>
          </w:p>
        </w:tc>
        <w:tc>
          <w:tcPr>
            <w:tcW w:w="1585" w:type="dxa"/>
          </w:tcPr>
          <w:p w14:paraId="78EC4FA9" w14:textId="021176A3" w:rsidR="00D020A0" w:rsidRDefault="00D020A0" w:rsidP="000E6303">
            <w:pPr>
              <w:jc w:val="center"/>
            </w:pPr>
            <w:r>
              <w:t>OPRA Pays</w:t>
            </w:r>
          </w:p>
          <w:p w14:paraId="63A60828" w14:textId="1CB8F299" w:rsidR="00D020A0" w:rsidRDefault="00D020A0" w:rsidP="000E6303">
            <w:pPr>
              <w:jc w:val="center"/>
            </w:pPr>
            <w:r>
              <w:t>$</w:t>
            </w:r>
          </w:p>
        </w:tc>
        <w:tc>
          <w:tcPr>
            <w:tcW w:w="2105" w:type="dxa"/>
          </w:tcPr>
          <w:p w14:paraId="17916139" w14:textId="77777777" w:rsidR="00D020A0" w:rsidRDefault="00D020A0" w:rsidP="000E6303">
            <w:pPr>
              <w:jc w:val="center"/>
            </w:pPr>
            <w:r>
              <w:t>Employee Pays</w:t>
            </w:r>
          </w:p>
          <w:p w14:paraId="7393DCB1" w14:textId="3F4B94F5" w:rsidR="00D020A0" w:rsidRDefault="00D020A0" w:rsidP="000E6303">
            <w:pPr>
              <w:jc w:val="center"/>
            </w:pPr>
            <w:r>
              <w:t>$</w:t>
            </w:r>
          </w:p>
        </w:tc>
        <w:tc>
          <w:tcPr>
            <w:tcW w:w="1635" w:type="dxa"/>
          </w:tcPr>
          <w:p w14:paraId="43B9422A" w14:textId="77777777" w:rsidR="00D020A0" w:rsidRDefault="00D020A0" w:rsidP="000E6303">
            <w:pPr>
              <w:jc w:val="center"/>
            </w:pPr>
            <w:r>
              <w:t>OPRA Pays</w:t>
            </w:r>
          </w:p>
          <w:p w14:paraId="0A865D4D" w14:textId="352C2145" w:rsidR="00D020A0" w:rsidRDefault="00D020A0" w:rsidP="000E6303">
            <w:pPr>
              <w:jc w:val="center"/>
            </w:pPr>
            <w:r>
              <w:t>$</w:t>
            </w:r>
          </w:p>
        </w:tc>
        <w:tc>
          <w:tcPr>
            <w:tcW w:w="1870" w:type="dxa"/>
          </w:tcPr>
          <w:p w14:paraId="570F6B55" w14:textId="77777777" w:rsidR="00D020A0" w:rsidRDefault="00D020A0" w:rsidP="000E6303">
            <w:pPr>
              <w:jc w:val="center"/>
            </w:pPr>
            <w:r>
              <w:t>Employee Pays</w:t>
            </w:r>
          </w:p>
          <w:p w14:paraId="5FB61522" w14:textId="0595751F" w:rsidR="00D020A0" w:rsidRDefault="00D020A0" w:rsidP="000E6303">
            <w:pPr>
              <w:jc w:val="center"/>
            </w:pPr>
            <w:r>
              <w:t>$</w:t>
            </w:r>
          </w:p>
        </w:tc>
      </w:tr>
      <w:tr w:rsidR="00D020A0" w14:paraId="7C5C96C4" w14:textId="77777777" w:rsidTr="000E6303">
        <w:tc>
          <w:tcPr>
            <w:tcW w:w="2155" w:type="dxa"/>
          </w:tcPr>
          <w:p w14:paraId="5B3896BC" w14:textId="7300F911" w:rsidR="00D020A0" w:rsidRPr="000E6303" w:rsidRDefault="00D020A0" w:rsidP="000E6303">
            <w:pPr>
              <w:jc w:val="center"/>
              <w:rPr>
                <w:b/>
              </w:rPr>
            </w:pPr>
            <w:r w:rsidRPr="000E6303">
              <w:rPr>
                <w:b/>
              </w:rPr>
              <w:t>Dental</w:t>
            </w:r>
          </w:p>
        </w:tc>
        <w:tc>
          <w:tcPr>
            <w:tcW w:w="1585" w:type="dxa"/>
          </w:tcPr>
          <w:p w14:paraId="5B4EE40B" w14:textId="076007AE" w:rsidR="00D020A0" w:rsidRDefault="00D020A0" w:rsidP="000E6303">
            <w:pPr>
              <w:jc w:val="center"/>
            </w:pPr>
            <w:r>
              <w:t>OPRA Pays</w:t>
            </w:r>
          </w:p>
          <w:p w14:paraId="24FB9B97" w14:textId="7C8F59AD" w:rsidR="00D020A0" w:rsidRDefault="00D020A0" w:rsidP="000E6303">
            <w:pPr>
              <w:jc w:val="center"/>
            </w:pPr>
            <w:r>
              <w:t>$</w:t>
            </w:r>
          </w:p>
        </w:tc>
        <w:tc>
          <w:tcPr>
            <w:tcW w:w="2105" w:type="dxa"/>
          </w:tcPr>
          <w:p w14:paraId="22704054" w14:textId="77777777" w:rsidR="00D020A0" w:rsidRDefault="00D020A0" w:rsidP="000E6303">
            <w:pPr>
              <w:jc w:val="center"/>
            </w:pPr>
            <w:r>
              <w:t>Employee Pays</w:t>
            </w:r>
          </w:p>
          <w:p w14:paraId="638CBBE8" w14:textId="4760A15E" w:rsidR="00D020A0" w:rsidRDefault="00D020A0" w:rsidP="000E6303">
            <w:pPr>
              <w:jc w:val="center"/>
            </w:pPr>
            <w:r>
              <w:t>$</w:t>
            </w:r>
          </w:p>
        </w:tc>
        <w:tc>
          <w:tcPr>
            <w:tcW w:w="1635" w:type="dxa"/>
          </w:tcPr>
          <w:p w14:paraId="611B7E98" w14:textId="77777777" w:rsidR="00D020A0" w:rsidRDefault="00D020A0" w:rsidP="000E6303">
            <w:pPr>
              <w:jc w:val="center"/>
            </w:pPr>
            <w:r>
              <w:t>OPRA Pays</w:t>
            </w:r>
          </w:p>
          <w:p w14:paraId="29119B22" w14:textId="76D47930" w:rsidR="00D020A0" w:rsidRDefault="00D020A0" w:rsidP="000E6303">
            <w:pPr>
              <w:jc w:val="center"/>
            </w:pPr>
            <w:r>
              <w:t>$</w:t>
            </w:r>
          </w:p>
        </w:tc>
        <w:tc>
          <w:tcPr>
            <w:tcW w:w="1870" w:type="dxa"/>
          </w:tcPr>
          <w:p w14:paraId="503A1CD3" w14:textId="77777777" w:rsidR="00D020A0" w:rsidRDefault="00D020A0" w:rsidP="000E6303">
            <w:pPr>
              <w:jc w:val="center"/>
            </w:pPr>
            <w:r>
              <w:t>Employee Pays</w:t>
            </w:r>
          </w:p>
          <w:p w14:paraId="237937C0" w14:textId="6070A431" w:rsidR="00D020A0" w:rsidRDefault="00D020A0" w:rsidP="000E6303">
            <w:pPr>
              <w:jc w:val="center"/>
            </w:pPr>
            <w:r>
              <w:t>$</w:t>
            </w:r>
          </w:p>
        </w:tc>
      </w:tr>
      <w:tr w:rsidR="00D020A0" w14:paraId="346D405B" w14:textId="77777777" w:rsidTr="000E6303">
        <w:tc>
          <w:tcPr>
            <w:tcW w:w="2155" w:type="dxa"/>
          </w:tcPr>
          <w:p w14:paraId="0710CB20" w14:textId="721DE5C2" w:rsidR="00D020A0" w:rsidRPr="000E6303" w:rsidRDefault="00D020A0" w:rsidP="000E6303">
            <w:pPr>
              <w:jc w:val="center"/>
              <w:rPr>
                <w:b/>
              </w:rPr>
            </w:pPr>
            <w:r w:rsidRPr="000E6303">
              <w:rPr>
                <w:b/>
              </w:rPr>
              <w:t>Vision</w:t>
            </w:r>
          </w:p>
        </w:tc>
        <w:tc>
          <w:tcPr>
            <w:tcW w:w="1585" w:type="dxa"/>
          </w:tcPr>
          <w:p w14:paraId="434CD007" w14:textId="0A13440E" w:rsidR="00D020A0" w:rsidRDefault="00D020A0" w:rsidP="000E6303">
            <w:pPr>
              <w:jc w:val="center"/>
            </w:pPr>
            <w:r>
              <w:t>OPRA Pays</w:t>
            </w:r>
          </w:p>
          <w:p w14:paraId="2A4D5016" w14:textId="74D56EBD" w:rsidR="00D020A0" w:rsidRDefault="00D020A0" w:rsidP="000E6303">
            <w:pPr>
              <w:jc w:val="center"/>
            </w:pPr>
            <w:r>
              <w:t>$</w:t>
            </w:r>
          </w:p>
        </w:tc>
        <w:tc>
          <w:tcPr>
            <w:tcW w:w="2105" w:type="dxa"/>
          </w:tcPr>
          <w:p w14:paraId="3B062C77" w14:textId="77777777" w:rsidR="00D020A0" w:rsidRDefault="00D020A0" w:rsidP="000E6303">
            <w:pPr>
              <w:jc w:val="center"/>
            </w:pPr>
            <w:r>
              <w:t>Employee Pays</w:t>
            </w:r>
          </w:p>
          <w:p w14:paraId="73061E13" w14:textId="76E4A8F8" w:rsidR="00D020A0" w:rsidRDefault="00D020A0" w:rsidP="000E6303">
            <w:pPr>
              <w:jc w:val="center"/>
            </w:pPr>
            <w:r>
              <w:t>$</w:t>
            </w:r>
          </w:p>
        </w:tc>
        <w:tc>
          <w:tcPr>
            <w:tcW w:w="1635" w:type="dxa"/>
          </w:tcPr>
          <w:p w14:paraId="3D3326D5" w14:textId="77777777" w:rsidR="00D020A0" w:rsidRDefault="00D020A0" w:rsidP="000E6303">
            <w:pPr>
              <w:jc w:val="center"/>
            </w:pPr>
            <w:r>
              <w:t>OPRA Pays</w:t>
            </w:r>
          </w:p>
          <w:p w14:paraId="4CBCC70C" w14:textId="6E659337" w:rsidR="00D020A0" w:rsidRDefault="00D020A0" w:rsidP="000E6303">
            <w:pPr>
              <w:jc w:val="center"/>
            </w:pPr>
            <w:r>
              <w:t>$</w:t>
            </w:r>
          </w:p>
        </w:tc>
        <w:tc>
          <w:tcPr>
            <w:tcW w:w="1870" w:type="dxa"/>
          </w:tcPr>
          <w:p w14:paraId="49CD9D04" w14:textId="77777777" w:rsidR="00D020A0" w:rsidRDefault="00D020A0" w:rsidP="000E6303">
            <w:pPr>
              <w:jc w:val="center"/>
            </w:pPr>
            <w:r>
              <w:t>Employee Pays</w:t>
            </w:r>
          </w:p>
          <w:p w14:paraId="012CF2DA" w14:textId="700D7BFD" w:rsidR="00D020A0" w:rsidRDefault="00D020A0" w:rsidP="000E6303">
            <w:pPr>
              <w:jc w:val="center"/>
            </w:pPr>
            <w:r>
              <w:t>$</w:t>
            </w:r>
          </w:p>
        </w:tc>
      </w:tr>
    </w:tbl>
    <w:p w14:paraId="2C351CFF" w14:textId="77777777" w:rsidR="00D020A0" w:rsidRPr="004C6792" w:rsidRDefault="00D020A0" w:rsidP="004C6792"/>
    <w:p w14:paraId="39A5DA07" w14:textId="3CFA1865" w:rsidR="009209B0" w:rsidRPr="004C6792" w:rsidRDefault="00D020A0" w:rsidP="004C6792">
      <w:r>
        <w:t>An</w:t>
      </w:r>
      <w:r w:rsidR="009209B0" w:rsidRPr="004C6792">
        <w:t xml:space="preserve"> HSA is available </w:t>
      </w:r>
      <w:r>
        <w:t>and OPRA contributes $________ into the employee’s account.</w:t>
      </w:r>
    </w:p>
    <w:p w14:paraId="0E9E11AD" w14:textId="746913BB" w:rsidR="009209B0" w:rsidRDefault="009209B0" w:rsidP="004C6792">
      <w:r w:rsidRPr="00504530">
        <w:t>Basic life insurance is provided through OPRA at no cost to the employee.  Short- and long-term disability insurance is available at additional cost to the employee.</w:t>
      </w:r>
      <w:r w:rsidR="00CD1B63">
        <w:t xml:space="preserve"> </w:t>
      </w:r>
    </w:p>
    <w:p w14:paraId="1127A834" w14:textId="5F884464" w:rsidR="009209B0" w:rsidRPr="00504530" w:rsidRDefault="00CD1B63" w:rsidP="009209B0">
      <w:r>
        <w:rPr>
          <w:rStyle w:val="CommentReference"/>
        </w:rPr>
        <w:commentReference w:id="1"/>
      </w:r>
    </w:p>
    <w:p w14:paraId="396C9A4C" w14:textId="77777777" w:rsidR="009209B0" w:rsidRPr="00504530" w:rsidRDefault="009209B0" w:rsidP="009209B0">
      <w:pPr>
        <w:rPr>
          <w:b/>
          <w:u w:val="single"/>
        </w:rPr>
      </w:pPr>
      <w:r w:rsidRPr="00504530">
        <w:rPr>
          <w:b/>
          <w:u w:val="single"/>
        </w:rPr>
        <w:t>Financial-Related Benefits</w:t>
      </w:r>
    </w:p>
    <w:p w14:paraId="1668336C" w14:textId="77777777" w:rsidR="009209B0" w:rsidRPr="00504530" w:rsidRDefault="009209B0" w:rsidP="009209B0"/>
    <w:p w14:paraId="4EBAD9F1" w14:textId="522D1923" w:rsidR="009C5E89" w:rsidRPr="00504530" w:rsidRDefault="009C5E89" w:rsidP="009C5E89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Full-time exempt employees are </w:t>
      </w:r>
      <w:r w:rsidRPr="00504530">
        <w:rPr>
          <w:rFonts w:ascii="Arial" w:hAnsi="Arial" w:cs="Arial"/>
          <w:sz w:val="22"/>
        </w:rPr>
        <w:t>eligible for 401k participation after one (1) full year of full-time employment</w:t>
      </w:r>
      <w:r>
        <w:rPr>
          <w:rFonts w:ascii="Arial" w:hAnsi="Arial" w:cs="Arial"/>
          <w:sz w:val="22"/>
        </w:rPr>
        <w:t xml:space="preserve">.  OPRA contributes up to 5% of the </w:t>
      </w:r>
      <w:r w:rsidR="000804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mployee’s annual salary.  </w:t>
      </w:r>
      <w:r w:rsidR="000804B4">
        <w:rPr>
          <w:rFonts w:ascii="Arial" w:hAnsi="Arial" w:cs="Arial"/>
          <w:sz w:val="22"/>
        </w:rPr>
        <w:t xml:space="preserve">Those </w:t>
      </w:r>
      <w:r>
        <w:rPr>
          <w:rFonts w:ascii="Arial" w:hAnsi="Arial" w:cs="Arial"/>
          <w:sz w:val="22"/>
        </w:rPr>
        <w:t xml:space="preserve">who opt </w:t>
      </w:r>
      <w:r w:rsidRPr="00504530">
        <w:rPr>
          <w:rFonts w:ascii="Arial" w:hAnsi="Arial" w:cs="Arial"/>
          <w:sz w:val="22"/>
        </w:rPr>
        <w:t>to participate</w:t>
      </w:r>
      <w:r>
        <w:rPr>
          <w:rFonts w:ascii="Arial" w:hAnsi="Arial" w:cs="Arial"/>
          <w:sz w:val="22"/>
        </w:rPr>
        <w:t xml:space="preserve"> will be</w:t>
      </w:r>
      <w:r w:rsidRPr="00504530">
        <w:rPr>
          <w:rFonts w:ascii="Arial" w:hAnsi="Arial" w:cs="Arial"/>
          <w:sz w:val="22"/>
        </w:rPr>
        <w:t xml:space="preserve"> enrolled during the first full pay period following </w:t>
      </w:r>
      <w:r>
        <w:rPr>
          <w:rFonts w:ascii="Arial" w:hAnsi="Arial" w:cs="Arial"/>
          <w:sz w:val="22"/>
        </w:rPr>
        <w:t xml:space="preserve">their </w:t>
      </w:r>
      <w:r w:rsidRPr="00504530">
        <w:rPr>
          <w:rFonts w:ascii="Arial" w:hAnsi="Arial" w:cs="Arial"/>
          <w:sz w:val="22"/>
        </w:rPr>
        <w:t>anniversary date with OPRA.  In addition to OPRA’s contribution to the 401k, employees may make voluntary pre-tax payroll contributions, as allowed by law.</w:t>
      </w:r>
    </w:p>
    <w:p w14:paraId="36897999" w14:textId="77777777" w:rsidR="009209B0" w:rsidRPr="00504530" w:rsidRDefault="009209B0" w:rsidP="009209B0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504530">
        <w:rPr>
          <w:rFonts w:ascii="Arial" w:hAnsi="Arial" w:cs="Arial"/>
          <w:sz w:val="22"/>
        </w:rPr>
        <w:t xml:space="preserve">All employees may take advantage of direct-deposit </w:t>
      </w:r>
      <w:r w:rsidR="00842779">
        <w:rPr>
          <w:rFonts w:ascii="Arial" w:hAnsi="Arial" w:cs="Arial"/>
          <w:sz w:val="22"/>
        </w:rPr>
        <w:t>of payroll</w:t>
      </w:r>
      <w:r w:rsidRPr="00504530">
        <w:rPr>
          <w:rFonts w:ascii="Arial" w:hAnsi="Arial" w:cs="Arial"/>
          <w:sz w:val="22"/>
        </w:rPr>
        <w:t>.</w:t>
      </w:r>
    </w:p>
    <w:p w14:paraId="59DD9B97" w14:textId="5FFEB997" w:rsidR="009209B0" w:rsidRPr="00504530" w:rsidRDefault="009209B0" w:rsidP="009209B0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504530">
        <w:rPr>
          <w:rFonts w:ascii="Arial" w:hAnsi="Arial" w:cs="Arial"/>
          <w:sz w:val="22"/>
        </w:rPr>
        <w:t>All employees, as persons working in Franklin County, are eligible to join the Members</w:t>
      </w:r>
      <w:r w:rsidR="00842779">
        <w:rPr>
          <w:rFonts w:ascii="Arial" w:hAnsi="Arial" w:cs="Arial"/>
          <w:sz w:val="22"/>
        </w:rPr>
        <w:t xml:space="preserve"> </w:t>
      </w:r>
      <w:r w:rsidRPr="00504530">
        <w:rPr>
          <w:rFonts w:ascii="Arial" w:hAnsi="Arial" w:cs="Arial"/>
          <w:sz w:val="22"/>
        </w:rPr>
        <w:t>First Credit Union.  Information packets are available upon request</w:t>
      </w:r>
      <w:r w:rsidR="00CD1B63">
        <w:rPr>
          <w:rFonts w:ascii="Arial" w:hAnsi="Arial" w:cs="Arial"/>
          <w:sz w:val="22"/>
        </w:rPr>
        <w:t xml:space="preserve"> from </w:t>
      </w:r>
      <w:r w:rsidR="009C5E89">
        <w:rPr>
          <w:rFonts w:ascii="Arial" w:hAnsi="Arial" w:cs="Arial"/>
          <w:sz w:val="22"/>
        </w:rPr>
        <w:t>OPRA President/CEO</w:t>
      </w:r>
      <w:r w:rsidRPr="00504530">
        <w:rPr>
          <w:rFonts w:ascii="Arial" w:hAnsi="Arial" w:cs="Arial"/>
          <w:sz w:val="22"/>
        </w:rPr>
        <w:t>.</w:t>
      </w:r>
    </w:p>
    <w:p w14:paraId="25A6E725" w14:textId="4A22C4AD" w:rsidR="009209B0" w:rsidRPr="00504530" w:rsidRDefault="009209B0" w:rsidP="009209B0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504530">
        <w:rPr>
          <w:rFonts w:ascii="Arial" w:hAnsi="Arial" w:cs="Arial"/>
          <w:sz w:val="22"/>
        </w:rPr>
        <w:t>All employees are eligible to take advantage of discounts offered</w:t>
      </w:r>
      <w:r w:rsidR="00CD1B63">
        <w:rPr>
          <w:rFonts w:ascii="Arial" w:hAnsi="Arial" w:cs="Arial"/>
          <w:sz w:val="22"/>
        </w:rPr>
        <w:t xml:space="preserve"> to OPRA from time to time</w:t>
      </w:r>
      <w:r w:rsidRPr="00504530">
        <w:rPr>
          <w:rFonts w:ascii="Arial" w:hAnsi="Arial" w:cs="Arial"/>
          <w:sz w:val="22"/>
        </w:rPr>
        <w:t xml:space="preserve"> by Verizon Wireless, OPRA’s wireless communications provider.</w:t>
      </w:r>
      <w:r w:rsidR="00CD1B63">
        <w:rPr>
          <w:rFonts w:ascii="Arial" w:hAnsi="Arial" w:cs="Arial"/>
          <w:sz w:val="22"/>
        </w:rPr>
        <w:t xml:space="preserve"> Information regarding these discounts is available from </w:t>
      </w:r>
      <w:r w:rsidR="009C5E89">
        <w:rPr>
          <w:rFonts w:ascii="Arial" w:hAnsi="Arial" w:cs="Arial"/>
          <w:sz w:val="22"/>
        </w:rPr>
        <w:t>OPRA’s President/CEO</w:t>
      </w:r>
      <w:r w:rsidR="00CD1B63">
        <w:rPr>
          <w:rFonts w:ascii="Arial" w:hAnsi="Arial" w:cs="Arial"/>
          <w:sz w:val="22"/>
        </w:rPr>
        <w:t xml:space="preserve"> </w:t>
      </w:r>
    </w:p>
    <w:p w14:paraId="0EFE3084" w14:textId="77777777" w:rsidR="009209B0" w:rsidRPr="00504530" w:rsidRDefault="009209B0" w:rsidP="009209B0"/>
    <w:p w14:paraId="4897E2A9" w14:textId="77777777" w:rsidR="009209B0" w:rsidRPr="00504530" w:rsidRDefault="009209B0" w:rsidP="009209B0"/>
    <w:p w14:paraId="05DF5BC5" w14:textId="77777777" w:rsidR="009209B0" w:rsidRPr="00504530" w:rsidRDefault="009209B0" w:rsidP="001244EF">
      <w:pPr>
        <w:widowControl/>
        <w:spacing w:before="150" w:after="150" w:line="240" w:lineRule="auto"/>
        <w:outlineLvl w:val="3"/>
        <w:rPr>
          <w:color w:val="000000" w:themeColor="text1"/>
          <w:lang w:val="en-US"/>
        </w:rPr>
      </w:pPr>
    </w:p>
    <w:p w14:paraId="64D03708" w14:textId="77777777" w:rsidR="000C3484" w:rsidRDefault="000C3484"/>
    <w:sectPr w:rsidR="000C3484" w:rsidSect="00EC387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Ford, Jacklyn J." w:date="2019-09-14T19:34:00Z" w:initials="FJJ">
    <w:p w14:paraId="6231BECE" w14:textId="77777777" w:rsidR="00CD1B63" w:rsidRDefault="00CD1B63">
      <w:pPr>
        <w:pStyle w:val="CommentText"/>
      </w:pPr>
      <w:r>
        <w:rPr>
          <w:rStyle w:val="CommentReference"/>
        </w:rPr>
        <w:annotationRef/>
      </w:r>
      <w:r>
        <w:t>(Deleting because it’s duplicative)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31BEC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157FC"/>
    <w:multiLevelType w:val="hybridMultilevel"/>
    <w:tmpl w:val="28B6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B1DBD"/>
    <w:multiLevelType w:val="hybridMultilevel"/>
    <w:tmpl w:val="0896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ord, Jacklyn J.">
    <w15:presenceInfo w15:providerId="AD" w15:userId="S-1-5-21-324934470-1870741132-1846952604-17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B0"/>
    <w:rsid w:val="000804B4"/>
    <w:rsid w:val="000C3484"/>
    <w:rsid w:val="000E6303"/>
    <w:rsid w:val="000F4BCB"/>
    <w:rsid w:val="000F5154"/>
    <w:rsid w:val="00103E41"/>
    <w:rsid w:val="001244EF"/>
    <w:rsid w:val="00421E77"/>
    <w:rsid w:val="004C6792"/>
    <w:rsid w:val="0050025A"/>
    <w:rsid w:val="005A162B"/>
    <w:rsid w:val="006362CE"/>
    <w:rsid w:val="00757176"/>
    <w:rsid w:val="00817ABC"/>
    <w:rsid w:val="00842779"/>
    <w:rsid w:val="00881B56"/>
    <w:rsid w:val="009209B0"/>
    <w:rsid w:val="009C5E89"/>
    <w:rsid w:val="00A418C8"/>
    <w:rsid w:val="00A435B5"/>
    <w:rsid w:val="00AA605C"/>
    <w:rsid w:val="00BC2B43"/>
    <w:rsid w:val="00C320D9"/>
    <w:rsid w:val="00CD1B63"/>
    <w:rsid w:val="00D020A0"/>
    <w:rsid w:val="00D765B5"/>
    <w:rsid w:val="00E47AB1"/>
    <w:rsid w:val="00EA2D61"/>
    <w:rsid w:val="00E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EFFF"/>
  <w15:chartTrackingRefBased/>
  <w15:docId w15:val="{24C5C8D6-8046-4DBC-B63C-E28AA777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9B0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9B0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lang w:val="en-US"/>
    </w:rPr>
  </w:style>
  <w:style w:type="table" w:styleId="TableGrid">
    <w:name w:val="Table Grid"/>
    <w:basedOn w:val="TableNormal"/>
    <w:uiPriority w:val="39"/>
    <w:rsid w:val="009209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2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B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B43"/>
    <w:rPr>
      <w:rFonts w:ascii="Arial" w:eastAsia="Times New Roman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B43"/>
    <w:rPr>
      <w:rFonts w:ascii="Arial" w:eastAsia="Times New Roman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B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43"/>
    <w:rPr>
      <w:rFonts w:ascii="Segoe UI" w:eastAsia="Times New Roman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Moore</dc:creator>
  <cp:keywords/>
  <dc:description/>
  <cp:lastModifiedBy>Peter Moore</cp:lastModifiedBy>
  <cp:revision>2</cp:revision>
  <dcterms:created xsi:type="dcterms:W3CDTF">2019-11-11T11:25:00Z</dcterms:created>
  <dcterms:modified xsi:type="dcterms:W3CDTF">2019-11-11T11:25:00Z</dcterms:modified>
</cp:coreProperties>
</file>