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15A91" w:rsidRPr="003A1E55" w:rsidP="00E15A91" w14:paraId="0EB2CE00" w14:textId="77777777">
      <w:pPr>
        <w:pStyle w:val="MemoHeading"/>
        <w:rPr>
          <w:sz w:val="24"/>
          <w:szCs w:val="24"/>
        </w:rPr>
      </w:pPr>
      <w:bookmarkStart w:id="0" w:name="_GoBack"/>
      <w:bookmarkEnd w:id="0"/>
      <w:r w:rsidRPr="003A1E55">
        <w:rPr>
          <w:sz w:val="24"/>
          <w:szCs w:val="24"/>
        </w:rPr>
        <w:t>MEMORANDU</w:t>
      </w:r>
      <w:r w:rsidRPr="003A1E55">
        <w:rPr>
          <w:spacing w:val="0"/>
          <w:sz w:val="24"/>
          <w:szCs w:val="24"/>
        </w:rPr>
        <w:t>M</w:t>
      </w:r>
    </w:p>
    <w:tbl>
      <w:tblPr>
        <w:tblW w:w="9576" w:type="dxa"/>
        <w:tblLayout w:type="fixed"/>
        <w:tblCellMar>
          <w:left w:w="0" w:type="dxa"/>
          <w:right w:w="0" w:type="dxa"/>
        </w:tblCellMar>
        <w:tblLook w:val="0000"/>
      </w:tblPr>
      <w:tblGrid>
        <w:gridCol w:w="1440"/>
        <w:gridCol w:w="8118"/>
        <w:gridCol w:w="18"/>
      </w:tblGrid>
      <w:tr w14:paraId="26A02B85" w14:textId="77777777" w:rsidTr="009F287D">
        <w:tblPrEx>
          <w:tblW w:w="9576" w:type="dxa"/>
          <w:tblLayout w:type="fixed"/>
          <w:tblCellMar>
            <w:left w:w="0" w:type="dxa"/>
            <w:right w:w="0" w:type="dxa"/>
          </w:tblCellMar>
          <w:tblLook w:val="0000"/>
        </w:tblPrEx>
        <w:trPr>
          <w:gridAfter w:val="1"/>
          <w:wAfter w:w="18" w:type="dxa"/>
        </w:trPr>
        <w:tc>
          <w:tcPr>
            <w:tcW w:w="1440" w:type="dxa"/>
          </w:tcPr>
          <w:p w:rsidR="00E15A91" w:rsidRPr="003A1E55" w:rsidP="00E15A91" w14:paraId="7C959F80" w14:textId="77777777">
            <w:pPr>
              <w:pStyle w:val="HeadingTitle"/>
              <w:rPr>
                <w:szCs w:val="24"/>
              </w:rPr>
            </w:pPr>
            <w:r w:rsidRPr="003A1E55">
              <w:rPr>
                <w:szCs w:val="24"/>
              </w:rPr>
              <w:t>TO:</w:t>
            </w:r>
          </w:p>
        </w:tc>
        <w:tc>
          <w:tcPr>
            <w:tcW w:w="8118" w:type="dxa"/>
          </w:tcPr>
          <w:p w:rsidR="00E15A91" w:rsidRPr="003A1E55" w:rsidP="00E15A91" w14:paraId="1314F8F9" w14:textId="77777777">
            <w:pPr>
              <w:pStyle w:val="HeadingText"/>
              <w:rPr>
                <w:szCs w:val="24"/>
              </w:rPr>
            </w:pPr>
            <w:bookmarkStart w:id="1" w:name="To"/>
            <w:r w:rsidRPr="003A1E55">
              <w:rPr>
                <w:szCs w:val="24"/>
              </w:rPr>
              <w:t>Ohio Provider Resource Association</w:t>
            </w:r>
            <w:bookmarkEnd w:id="1"/>
            <w:r w:rsidRPr="003A1E55" w:rsidR="006A70BA">
              <w:rPr>
                <w:szCs w:val="24"/>
              </w:rPr>
              <w:t xml:space="preserve"> Members</w:t>
            </w:r>
          </w:p>
        </w:tc>
      </w:tr>
      <w:tr w14:paraId="151EA972" w14:textId="77777777" w:rsidTr="009F287D">
        <w:tblPrEx>
          <w:tblW w:w="9576" w:type="dxa"/>
          <w:tblLayout w:type="fixed"/>
          <w:tblCellMar>
            <w:left w:w="0" w:type="dxa"/>
            <w:right w:w="0" w:type="dxa"/>
          </w:tblCellMar>
          <w:tblLook w:val="0000"/>
        </w:tblPrEx>
        <w:trPr>
          <w:gridAfter w:val="1"/>
          <w:wAfter w:w="18" w:type="dxa"/>
          <w:trHeight w:hRule="exact" w:val="240"/>
        </w:trPr>
        <w:tc>
          <w:tcPr>
            <w:tcW w:w="1440" w:type="dxa"/>
          </w:tcPr>
          <w:p w:rsidR="00E15A91" w:rsidRPr="003A1E55" w:rsidP="00E15A91" w14:paraId="69B25698" w14:textId="77777777">
            <w:pPr>
              <w:pStyle w:val="HeadingTitle"/>
              <w:rPr>
                <w:szCs w:val="24"/>
              </w:rPr>
            </w:pPr>
          </w:p>
        </w:tc>
        <w:tc>
          <w:tcPr>
            <w:tcW w:w="8118" w:type="dxa"/>
          </w:tcPr>
          <w:p w:rsidR="00E15A91" w:rsidRPr="003A1E55" w:rsidP="00E15A91" w14:paraId="79B0F7C8" w14:textId="77777777">
            <w:pPr>
              <w:pStyle w:val="HeadingText"/>
              <w:rPr>
                <w:szCs w:val="24"/>
              </w:rPr>
            </w:pPr>
            <w:bookmarkStart w:id="2" w:name="holdCClist"/>
            <w:bookmarkEnd w:id="2"/>
          </w:p>
        </w:tc>
      </w:tr>
      <w:tr w14:paraId="1AFD11A6" w14:textId="77777777" w:rsidTr="009F287D">
        <w:tblPrEx>
          <w:tblW w:w="9576" w:type="dxa"/>
          <w:tblLayout w:type="fixed"/>
          <w:tblCellMar>
            <w:left w:w="0" w:type="dxa"/>
            <w:right w:w="0" w:type="dxa"/>
          </w:tblCellMar>
          <w:tblLook w:val="0000"/>
        </w:tblPrEx>
        <w:trPr>
          <w:gridAfter w:val="1"/>
          <w:wAfter w:w="18" w:type="dxa"/>
        </w:trPr>
        <w:tc>
          <w:tcPr>
            <w:tcW w:w="1440" w:type="dxa"/>
          </w:tcPr>
          <w:p w:rsidR="00E15A91" w:rsidRPr="003A1E55" w:rsidP="00E15A91" w14:paraId="54574292" w14:textId="77777777">
            <w:pPr>
              <w:pStyle w:val="HeadingTitle"/>
              <w:rPr>
                <w:szCs w:val="24"/>
              </w:rPr>
            </w:pPr>
            <w:r w:rsidRPr="003A1E55">
              <w:rPr>
                <w:szCs w:val="24"/>
              </w:rPr>
              <w:t>FROM:</w:t>
            </w:r>
          </w:p>
        </w:tc>
        <w:tc>
          <w:tcPr>
            <w:tcW w:w="8118" w:type="dxa"/>
          </w:tcPr>
          <w:p w:rsidR="00DF3B3E" w:rsidRPr="003A1E55" w:rsidP="00E15A91" w14:paraId="32A1B1CF" w14:textId="77777777">
            <w:pPr>
              <w:pStyle w:val="HeadingText"/>
              <w:rPr>
                <w:szCs w:val="24"/>
              </w:rPr>
            </w:pPr>
            <w:r w:rsidRPr="003A1E55">
              <w:rPr>
                <w:szCs w:val="24"/>
              </w:rPr>
              <w:t>Suzanne J. Scrutton</w:t>
            </w:r>
          </w:p>
          <w:p w:rsidR="0088071D" w:rsidRPr="003A1E55" w:rsidP="00E15A91" w14:paraId="002F12B7" w14:textId="77777777">
            <w:pPr>
              <w:pStyle w:val="HeadingText"/>
              <w:rPr>
                <w:szCs w:val="24"/>
              </w:rPr>
            </w:pPr>
            <w:r w:rsidRPr="003A1E55">
              <w:rPr>
                <w:szCs w:val="24"/>
              </w:rPr>
              <w:t>Jackie Ford</w:t>
            </w:r>
          </w:p>
          <w:p w:rsidR="00742600" w:rsidRPr="003A1E55" w:rsidP="00E15A91" w14:paraId="28EDB905" w14:textId="77777777">
            <w:pPr>
              <w:pStyle w:val="HeadingText"/>
              <w:rPr>
                <w:szCs w:val="24"/>
              </w:rPr>
            </w:pPr>
            <w:r w:rsidRPr="003A1E55">
              <w:rPr>
                <w:szCs w:val="24"/>
              </w:rPr>
              <w:t xml:space="preserve">Robin </w:t>
            </w:r>
            <w:r w:rsidR="00297F18">
              <w:rPr>
                <w:szCs w:val="24"/>
              </w:rPr>
              <w:t>L. Canowitz</w:t>
            </w:r>
          </w:p>
          <w:p w:rsidR="00A053CA" w:rsidRPr="003A1E55" w:rsidP="00E15A91" w14:paraId="42DFB3AF" w14:textId="77777777">
            <w:pPr>
              <w:pStyle w:val="HeadingText"/>
              <w:rPr>
                <w:szCs w:val="24"/>
              </w:rPr>
            </w:pPr>
            <w:r w:rsidRPr="003A1E55">
              <w:rPr>
                <w:szCs w:val="24"/>
              </w:rPr>
              <w:t>Mairi K. Mull</w:t>
            </w:r>
          </w:p>
        </w:tc>
      </w:tr>
      <w:tr w14:paraId="553EE7F2" w14:textId="77777777" w:rsidTr="009F287D">
        <w:tblPrEx>
          <w:tblW w:w="9576" w:type="dxa"/>
          <w:tblLayout w:type="fixed"/>
          <w:tblCellMar>
            <w:left w:w="0" w:type="dxa"/>
            <w:right w:w="0" w:type="dxa"/>
          </w:tblCellMar>
          <w:tblLook w:val="0000"/>
        </w:tblPrEx>
        <w:trPr>
          <w:gridAfter w:val="1"/>
          <w:wAfter w:w="18" w:type="dxa"/>
          <w:trHeight w:hRule="exact" w:val="240"/>
        </w:trPr>
        <w:tc>
          <w:tcPr>
            <w:tcW w:w="1440" w:type="dxa"/>
          </w:tcPr>
          <w:p w:rsidR="00E15A91" w:rsidRPr="003A1E55" w:rsidP="00E15A91" w14:paraId="799AD54F" w14:textId="77777777">
            <w:pPr>
              <w:pStyle w:val="HeadingTitle"/>
              <w:rPr>
                <w:szCs w:val="24"/>
              </w:rPr>
            </w:pPr>
          </w:p>
        </w:tc>
        <w:tc>
          <w:tcPr>
            <w:tcW w:w="8118" w:type="dxa"/>
          </w:tcPr>
          <w:p w:rsidR="00E15A91" w:rsidRPr="003A1E55" w:rsidP="00E15A91" w14:paraId="43F626E5" w14:textId="77777777">
            <w:pPr>
              <w:pStyle w:val="HeadingText"/>
              <w:rPr>
                <w:szCs w:val="24"/>
              </w:rPr>
            </w:pPr>
          </w:p>
        </w:tc>
      </w:tr>
      <w:tr w14:paraId="6496EA86" w14:textId="77777777" w:rsidTr="009F287D">
        <w:tblPrEx>
          <w:tblW w:w="9576" w:type="dxa"/>
          <w:tblLayout w:type="fixed"/>
          <w:tblCellMar>
            <w:left w:w="0" w:type="dxa"/>
            <w:right w:w="0" w:type="dxa"/>
          </w:tblCellMar>
          <w:tblLook w:val="0000"/>
        </w:tblPrEx>
        <w:trPr>
          <w:gridAfter w:val="1"/>
          <w:wAfter w:w="18" w:type="dxa"/>
        </w:trPr>
        <w:tc>
          <w:tcPr>
            <w:tcW w:w="1440" w:type="dxa"/>
          </w:tcPr>
          <w:p w:rsidR="00E15A91" w:rsidRPr="003A1E55" w:rsidP="00E15A91" w14:paraId="69551710" w14:textId="77777777">
            <w:pPr>
              <w:pStyle w:val="HeadingTitle"/>
              <w:rPr>
                <w:szCs w:val="24"/>
              </w:rPr>
            </w:pPr>
            <w:r w:rsidRPr="003A1E55">
              <w:rPr>
                <w:szCs w:val="24"/>
              </w:rPr>
              <w:t>DATE:</w:t>
            </w:r>
          </w:p>
        </w:tc>
        <w:tc>
          <w:tcPr>
            <w:tcW w:w="8118" w:type="dxa"/>
          </w:tcPr>
          <w:p w:rsidR="00E15A91" w:rsidRPr="003A1E55" w:rsidP="009B191E" w14:paraId="0062AD17" w14:textId="47CBB585">
            <w:pPr>
              <w:pStyle w:val="Date"/>
              <w:rPr>
                <w:szCs w:val="24"/>
              </w:rPr>
            </w:pPr>
            <w:r>
              <w:rPr>
                <w:szCs w:val="24"/>
              </w:rPr>
              <w:t xml:space="preserve">May </w:t>
            </w:r>
            <w:r w:rsidR="00BD73CB">
              <w:rPr>
                <w:szCs w:val="24"/>
              </w:rPr>
              <w:t>2</w:t>
            </w:r>
            <w:r w:rsidR="009B191E">
              <w:rPr>
                <w:szCs w:val="24"/>
              </w:rPr>
              <w:t>2</w:t>
            </w:r>
            <w:r w:rsidRPr="003A1E55" w:rsidR="00967D79">
              <w:rPr>
                <w:szCs w:val="24"/>
              </w:rPr>
              <w:t xml:space="preserve">, </w:t>
            </w:r>
            <w:r w:rsidRPr="003A1E55" w:rsidR="00D5045A">
              <w:rPr>
                <w:szCs w:val="24"/>
              </w:rPr>
              <w:t>201</w:t>
            </w:r>
            <w:r w:rsidRPr="003A1E55" w:rsidR="00432DE6">
              <w:rPr>
                <w:szCs w:val="24"/>
              </w:rPr>
              <w:t>9</w:t>
            </w:r>
          </w:p>
        </w:tc>
      </w:tr>
      <w:tr w14:paraId="4E249DFB" w14:textId="77777777" w:rsidTr="009F287D">
        <w:tblPrEx>
          <w:tblW w:w="9576" w:type="dxa"/>
          <w:tblLayout w:type="fixed"/>
          <w:tblCellMar>
            <w:left w:w="0" w:type="dxa"/>
            <w:right w:w="0" w:type="dxa"/>
          </w:tblCellMar>
          <w:tblLook w:val="0000"/>
        </w:tblPrEx>
        <w:trPr>
          <w:gridAfter w:val="1"/>
          <w:wAfter w:w="18" w:type="dxa"/>
          <w:trHeight w:hRule="exact" w:val="240"/>
        </w:trPr>
        <w:tc>
          <w:tcPr>
            <w:tcW w:w="1440" w:type="dxa"/>
          </w:tcPr>
          <w:p w:rsidR="00E15A91" w:rsidRPr="003A1E55" w:rsidP="00E15A91" w14:paraId="0CB0061A" w14:textId="77777777">
            <w:pPr>
              <w:pStyle w:val="HeadingTitle"/>
              <w:rPr>
                <w:szCs w:val="24"/>
              </w:rPr>
            </w:pPr>
            <w:bookmarkStart w:id="3" w:name="holdRe"/>
            <w:bookmarkEnd w:id="3"/>
          </w:p>
        </w:tc>
        <w:tc>
          <w:tcPr>
            <w:tcW w:w="8118" w:type="dxa"/>
          </w:tcPr>
          <w:p w:rsidR="00E15A91" w:rsidRPr="003A1E55" w:rsidP="00E15A91" w14:paraId="57E6D921" w14:textId="77777777">
            <w:pPr>
              <w:pStyle w:val="HeadingText"/>
              <w:rPr>
                <w:szCs w:val="24"/>
              </w:rPr>
            </w:pPr>
          </w:p>
        </w:tc>
      </w:tr>
      <w:tr w14:paraId="7BF2181B" w14:textId="77777777" w:rsidTr="009F287D">
        <w:tblPrEx>
          <w:tblW w:w="9576" w:type="dxa"/>
          <w:tblLayout w:type="fixed"/>
          <w:tblCellMar>
            <w:left w:w="0" w:type="dxa"/>
            <w:right w:w="0" w:type="dxa"/>
          </w:tblCellMar>
          <w:tblLook w:val="0000"/>
        </w:tblPrEx>
        <w:trPr>
          <w:gridAfter w:val="1"/>
          <w:wAfter w:w="18" w:type="dxa"/>
        </w:trPr>
        <w:tc>
          <w:tcPr>
            <w:tcW w:w="1440" w:type="dxa"/>
          </w:tcPr>
          <w:p w:rsidR="00E15A91" w:rsidRPr="003A1E55" w:rsidP="00E15A91" w14:paraId="6DCD7B99" w14:textId="77777777">
            <w:pPr>
              <w:pStyle w:val="HeadingTitle"/>
              <w:rPr>
                <w:szCs w:val="24"/>
              </w:rPr>
            </w:pPr>
            <w:r w:rsidRPr="003A1E55">
              <w:rPr>
                <w:szCs w:val="24"/>
              </w:rPr>
              <w:t>RE:</w:t>
            </w:r>
          </w:p>
        </w:tc>
        <w:tc>
          <w:tcPr>
            <w:tcW w:w="8118" w:type="dxa"/>
          </w:tcPr>
          <w:p w:rsidR="00E15A91" w:rsidRPr="003A1E55" w:rsidP="00D5045A" w14:paraId="7F0B9F7A" w14:textId="77777777">
            <w:pPr>
              <w:pStyle w:val="ReLine"/>
              <w:rPr>
                <w:szCs w:val="24"/>
              </w:rPr>
            </w:pPr>
            <w:r w:rsidRPr="003A1E55">
              <w:rPr>
                <w:szCs w:val="24"/>
              </w:rPr>
              <w:t xml:space="preserve">Use of </w:t>
            </w:r>
            <w:r w:rsidRPr="003A1E55" w:rsidR="00A053CA">
              <w:rPr>
                <w:szCs w:val="24"/>
              </w:rPr>
              <w:t xml:space="preserve">Video </w:t>
            </w:r>
            <w:r w:rsidRPr="003A1E55">
              <w:rPr>
                <w:szCs w:val="24"/>
              </w:rPr>
              <w:t>C</w:t>
            </w:r>
            <w:r w:rsidRPr="003A1E55" w:rsidR="005B7CE9">
              <w:rPr>
                <w:szCs w:val="24"/>
              </w:rPr>
              <w:t xml:space="preserve">ameras </w:t>
            </w:r>
            <w:r w:rsidRPr="003A1E55" w:rsidR="005F19B3">
              <w:rPr>
                <w:szCs w:val="24"/>
              </w:rPr>
              <w:t>in Residential Facilities</w:t>
            </w:r>
          </w:p>
        </w:tc>
      </w:tr>
      <w:tr w14:paraId="6E93E4A9" w14:textId="77777777" w:rsidTr="009F287D">
        <w:tblPrEx>
          <w:tblW w:w="9576" w:type="dxa"/>
          <w:tblLayout w:type="fixed"/>
          <w:tblCellMar>
            <w:left w:w="0" w:type="dxa"/>
            <w:right w:w="0" w:type="dxa"/>
          </w:tblCellMar>
          <w:tblLook w:val="0000"/>
        </w:tblPrEx>
        <w:tc>
          <w:tcPr>
            <w:tcW w:w="9576" w:type="dxa"/>
            <w:gridSpan w:val="3"/>
            <w:tcBorders>
              <w:bottom w:val="single" w:sz="12" w:space="0" w:color="auto"/>
            </w:tcBorders>
          </w:tcPr>
          <w:p w:rsidR="00E15A91" w:rsidRPr="003A1E55" w:rsidP="00E15A91" w14:paraId="1193CFB4" w14:textId="77777777">
            <w:pPr>
              <w:rPr>
                <w:b/>
                <w:szCs w:val="24"/>
              </w:rPr>
            </w:pPr>
          </w:p>
        </w:tc>
      </w:tr>
      <w:tr w14:paraId="4272B155" w14:textId="77777777" w:rsidTr="00D5045A">
        <w:tblPrEx>
          <w:tblW w:w="9576" w:type="dxa"/>
          <w:tblLayout w:type="fixed"/>
          <w:tblCellMar>
            <w:left w:w="0" w:type="dxa"/>
            <w:right w:w="0" w:type="dxa"/>
          </w:tblCellMar>
          <w:tblLook w:val="0000"/>
        </w:tblPrEx>
        <w:trPr>
          <w:trHeight w:val="303"/>
        </w:trPr>
        <w:tc>
          <w:tcPr>
            <w:tcW w:w="9576" w:type="dxa"/>
            <w:gridSpan w:val="3"/>
          </w:tcPr>
          <w:p w:rsidR="00E15A91" w:rsidRPr="003A1E55" w:rsidP="00E15A91" w14:paraId="3AB8110B" w14:textId="77777777">
            <w:pPr>
              <w:rPr>
                <w:b/>
                <w:szCs w:val="24"/>
              </w:rPr>
            </w:pPr>
          </w:p>
        </w:tc>
      </w:tr>
    </w:tbl>
    <w:p w:rsidR="004028B2" w:rsidRPr="003A1E55" w:rsidP="006A70BA" w14:paraId="4509D7A8" w14:textId="77777777">
      <w:pPr>
        <w:pStyle w:val="BodyText"/>
        <w:numPr>
          <w:ilvl w:val="0"/>
          <w:numId w:val="1"/>
        </w:numPr>
        <w:rPr>
          <w:b/>
          <w:szCs w:val="24"/>
        </w:rPr>
      </w:pPr>
      <w:bookmarkStart w:id="4" w:name="Start"/>
      <w:bookmarkEnd w:id="4"/>
      <w:r w:rsidRPr="003A1E55">
        <w:rPr>
          <w:b/>
          <w:szCs w:val="24"/>
        </w:rPr>
        <w:t>Introduction</w:t>
      </w:r>
    </w:p>
    <w:p w:rsidR="0045085D" w:rsidRPr="003A1E55" w:rsidP="0045085D" w14:paraId="25A31057" w14:textId="77777777">
      <w:pPr>
        <w:ind w:firstLine="720"/>
        <w:rPr>
          <w:szCs w:val="24"/>
        </w:rPr>
      </w:pPr>
      <w:r w:rsidRPr="003A1E55">
        <w:rPr>
          <w:szCs w:val="24"/>
        </w:rPr>
        <w:t xml:space="preserve">Members of the Ohio Provider Resource Association (OPRA) have requested </w:t>
      </w:r>
      <w:r w:rsidRPr="003A1E55" w:rsidR="00540030">
        <w:rPr>
          <w:szCs w:val="24"/>
        </w:rPr>
        <w:t>legal guidance regarding the use of video</w:t>
      </w:r>
      <w:r w:rsidRPr="003A1E55" w:rsidR="00A053CA">
        <w:rPr>
          <w:szCs w:val="24"/>
        </w:rPr>
        <w:t xml:space="preserve"> </w:t>
      </w:r>
      <w:r w:rsidRPr="003A1E55" w:rsidR="00540030">
        <w:rPr>
          <w:szCs w:val="24"/>
        </w:rPr>
        <w:t xml:space="preserve">cameras in group homes and Intermediate Care Facilities (ICFs), both by facility staff </w:t>
      </w:r>
      <w:r w:rsidRPr="003A1E55" w:rsidR="0099710B">
        <w:rPr>
          <w:szCs w:val="24"/>
        </w:rPr>
        <w:t>or</w:t>
      </w:r>
      <w:r w:rsidRPr="003A1E55">
        <w:rPr>
          <w:szCs w:val="24"/>
        </w:rPr>
        <w:t xml:space="preserve"> management </w:t>
      </w:r>
      <w:r w:rsidRPr="003A1E55" w:rsidR="00540030">
        <w:rPr>
          <w:szCs w:val="24"/>
        </w:rPr>
        <w:t xml:space="preserve">and </w:t>
      </w:r>
      <w:r w:rsidRPr="003A1E55">
        <w:rPr>
          <w:szCs w:val="24"/>
        </w:rPr>
        <w:t>by</w:t>
      </w:r>
      <w:r w:rsidRPr="003A1E55" w:rsidR="00540030">
        <w:rPr>
          <w:szCs w:val="24"/>
        </w:rPr>
        <w:t xml:space="preserve"> residents’ family members and other visitors.  </w:t>
      </w:r>
      <w:r w:rsidRPr="003A1E55" w:rsidR="0099710B">
        <w:rPr>
          <w:szCs w:val="24"/>
        </w:rPr>
        <w:t>T</w:t>
      </w:r>
      <w:r w:rsidRPr="003A1E55" w:rsidR="005B7CE9">
        <w:rPr>
          <w:szCs w:val="24"/>
        </w:rPr>
        <w:t xml:space="preserve">his memorandum </w:t>
      </w:r>
      <w:r w:rsidRPr="003A1E55">
        <w:rPr>
          <w:szCs w:val="24"/>
        </w:rPr>
        <w:t>provides an overview of the various regulatory and employment considerations asso</w:t>
      </w:r>
      <w:r w:rsidRPr="003A1E55" w:rsidR="0099710B">
        <w:rPr>
          <w:szCs w:val="24"/>
        </w:rPr>
        <w:t>ciated with the use of video</w:t>
      </w:r>
      <w:r w:rsidRPr="003A1E55" w:rsidR="00A053CA">
        <w:rPr>
          <w:szCs w:val="24"/>
        </w:rPr>
        <w:t xml:space="preserve"> </w:t>
      </w:r>
      <w:r w:rsidRPr="003A1E55" w:rsidR="0099710B">
        <w:rPr>
          <w:szCs w:val="24"/>
        </w:rPr>
        <w:t>cameras in this context</w:t>
      </w:r>
      <w:r w:rsidRPr="003A1E55">
        <w:rPr>
          <w:szCs w:val="24"/>
        </w:rPr>
        <w:t xml:space="preserve">, as well as an analysis of the specific obligations of providers in </w:t>
      </w:r>
      <w:r w:rsidRPr="003A1E55" w:rsidR="0099710B">
        <w:rPr>
          <w:szCs w:val="24"/>
        </w:rPr>
        <w:t>conducting and/or permitting such use</w:t>
      </w:r>
      <w:r w:rsidRPr="003A1E55">
        <w:rPr>
          <w:szCs w:val="24"/>
        </w:rPr>
        <w:t xml:space="preserve">. </w:t>
      </w:r>
    </w:p>
    <w:p w:rsidR="00AE49F7" w:rsidRPr="003A1E55" w:rsidP="0045085D" w14:paraId="7BB697F1" w14:textId="77777777">
      <w:pPr>
        <w:rPr>
          <w:szCs w:val="24"/>
        </w:rPr>
      </w:pPr>
    </w:p>
    <w:p w:rsidR="00AE49F7" w:rsidRPr="003A1E55" w:rsidP="00AE49F7" w14:paraId="26EFFD8D" w14:textId="77777777">
      <w:pPr>
        <w:pStyle w:val="ListParagraph"/>
        <w:numPr>
          <w:ilvl w:val="0"/>
          <w:numId w:val="1"/>
        </w:numPr>
        <w:rPr>
          <w:szCs w:val="24"/>
        </w:rPr>
      </w:pPr>
      <w:r w:rsidRPr="003A1E55">
        <w:rPr>
          <w:b/>
          <w:szCs w:val="24"/>
        </w:rPr>
        <w:t>Regulatory Considerations</w:t>
      </w:r>
    </w:p>
    <w:p w:rsidR="0029466C" w:rsidRPr="003A1E55" w:rsidP="002A6D9A" w14:paraId="5FDECD95" w14:textId="77777777">
      <w:pPr>
        <w:rPr>
          <w:szCs w:val="24"/>
        </w:rPr>
      </w:pPr>
    </w:p>
    <w:p w:rsidR="0045085D" w:rsidRPr="003A1E55" w:rsidP="0045085D" w14:paraId="0181B249" w14:textId="77777777">
      <w:pPr>
        <w:ind w:left="720"/>
        <w:rPr>
          <w:szCs w:val="24"/>
        </w:rPr>
      </w:pPr>
      <w:r w:rsidRPr="003A1E55">
        <w:rPr>
          <w:i/>
          <w:szCs w:val="24"/>
        </w:rPr>
        <w:t xml:space="preserve">a. </w:t>
      </w:r>
      <w:r w:rsidRPr="003A1E55">
        <w:rPr>
          <w:i/>
          <w:szCs w:val="24"/>
        </w:rPr>
        <w:tab/>
        <w:t>Use of Video</w:t>
      </w:r>
      <w:r w:rsidRPr="003A1E55" w:rsidR="00A053CA">
        <w:rPr>
          <w:i/>
          <w:szCs w:val="24"/>
        </w:rPr>
        <w:t xml:space="preserve"> C</w:t>
      </w:r>
      <w:r w:rsidRPr="003A1E55">
        <w:rPr>
          <w:i/>
          <w:szCs w:val="24"/>
        </w:rPr>
        <w:t>ameras by Facility Staff or Management</w:t>
      </w:r>
      <w:r w:rsidRPr="003A1E55">
        <w:rPr>
          <w:szCs w:val="24"/>
        </w:rPr>
        <w:t xml:space="preserve"> </w:t>
      </w:r>
    </w:p>
    <w:p w:rsidR="00294379" w:rsidRPr="003A1E55" w:rsidP="00D25C27" w14:paraId="67A1563C" w14:textId="77777777">
      <w:pPr>
        <w:ind w:firstLine="720"/>
        <w:rPr>
          <w:szCs w:val="24"/>
        </w:rPr>
      </w:pPr>
    </w:p>
    <w:p w:rsidR="005F19B3" w:rsidRPr="003A1E55" w:rsidP="005C768F" w14:paraId="33763316" w14:textId="77777777">
      <w:pPr>
        <w:ind w:firstLine="720"/>
        <w:rPr>
          <w:szCs w:val="24"/>
        </w:rPr>
      </w:pPr>
      <w:r w:rsidRPr="003A1E55">
        <w:rPr>
          <w:szCs w:val="24"/>
        </w:rPr>
        <w:t>Used appropriately, video</w:t>
      </w:r>
      <w:r w:rsidRPr="003A1E55" w:rsidR="00A053CA">
        <w:rPr>
          <w:szCs w:val="24"/>
        </w:rPr>
        <w:t xml:space="preserve"> </w:t>
      </w:r>
      <w:r w:rsidRPr="003A1E55">
        <w:rPr>
          <w:szCs w:val="24"/>
        </w:rPr>
        <w:t xml:space="preserve">cameras may offer uniquely effective means of maintaining building security, preventing or identifying misconduct that could potentially jeopardize residents’ </w:t>
      </w:r>
      <w:r w:rsidRPr="003A1E55" w:rsidR="005C768F">
        <w:rPr>
          <w:szCs w:val="24"/>
        </w:rPr>
        <w:t xml:space="preserve">safety and well-being, and retrospectively gathering information about an incident’s root causes.  </w:t>
      </w:r>
      <w:r w:rsidRPr="003A1E55" w:rsidR="001E7BA6">
        <w:rPr>
          <w:szCs w:val="24"/>
        </w:rPr>
        <w:t>H</w:t>
      </w:r>
      <w:r w:rsidRPr="003A1E55" w:rsidR="005C768F">
        <w:rPr>
          <w:szCs w:val="24"/>
        </w:rPr>
        <w:t xml:space="preserve">owever, </w:t>
      </w:r>
      <w:r w:rsidRPr="003A1E55" w:rsidR="001E7BA6">
        <w:rPr>
          <w:szCs w:val="24"/>
        </w:rPr>
        <w:t>these benefits must</w:t>
      </w:r>
      <w:r w:rsidRPr="003A1E55" w:rsidR="005C768F">
        <w:rPr>
          <w:szCs w:val="24"/>
        </w:rPr>
        <w:t xml:space="preserve"> n</w:t>
      </w:r>
      <w:r w:rsidRPr="003A1E55" w:rsidR="001E7BA6">
        <w:rPr>
          <w:szCs w:val="24"/>
        </w:rPr>
        <w:t>ot</w:t>
      </w:r>
      <w:r w:rsidRPr="003A1E55" w:rsidR="005C768F">
        <w:rPr>
          <w:szCs w:val="24"/>
        </w:rPr>
        <w:t xml:space="preserve"> take precedence over a provider’s responsibility under state and federal law to </w:t>
      </w:r>
      <w:r w:rsidRPr="003A1E55" w:rsidR="00A053CA">
        <w:rPr>
          <w:szCs w:val="24"/>
        </w:rPr>
        <w:t>protect</w:t>
      </w:r>
      <w:r w:rsidRPr="003A1E55" w:rsidR="005C768F">
        <w:rPr>
          <w:szCs w:val="24"/>
        </w:rPr>
        <w:t xml:space="preserve"> the privacy of its residents</w:t>
      </w:r>
      <w:r w:rsidRPr="003A1E55" w:rsidR="001E7BA6">
        <w:rPr>
          <w:szCs w:val="24"/>
        </w:rPr>
        <w:t>, and any use of video</w:t>
      </w:r>
      <w:r w:rsidRPr="003A1E55" w:rsidR="00A053CA">
        <w:rPr>
          <w:szCs w:val="24"/>
        </w:rPr>
        <w:t xml:space="preserve"> </w:t>
      </w:r>
      <w:r w:rsidRPr="003A1E55" w:rsidR="001E7BA6">
        <w:rPr>
          <w:szCs w:val="24"/>
        </w:rPr>
        <w:t xml:space="preserve">cameras by facility staff or management should be in accordance with </w:t>
      </w:r>
      <w:r w:rsidRPr="003A1E55" w:rsidR="004524CB">
        <w:rPr>
          <w:szCs w:val="24"/>
        </w:rPr>
        <w:t xml:space="preserve">specific policies designed and implemented for this purpose. </w:t>
      </w:r>
      <w:r w:rsidRPr="003A1E55" w:rsidR="005565AC">
        <w:rPr>
          <w:szCs w:val="24"/>
        </w:rPr>
        <w:t xml:space="preserve"> </w:t>
      </w:r>
    </w:p>
    <w:p w:rsidR="004524CB" w:rsidRPr="003A1E55" w:rsidP="005C768F" w14:paraId="58929886" w14:textId="77777777">
      <w:pPr>
        <w:ind w:firstLine="720"/>
        <w:rPr>
          <w:szCs w:val="24"/>
        </w:rPr>
      </w:pPr>
    </w:p>
    <w:p w:rsidR="004524CB" w:rsidRPr="003A1E55" w:rsidP="005C768F" w14:paraId="0AF23C1A" w14:textId="77777777">
      <w:pPr>
        <w:ind w:firstLine="720"/>
        <w:rPr>
          <w:szCs w:val="24"/>
        </w:rPr>
      </w:pPr>
      <w:r w:rsidRPr="003A1E55">
        <w:rPr>
          <w:szCs w:val="24"/>
        </w:rPr>
        <w:t xml:space="preserve">The Centers for Medicare &amp; Medicaid Services (CMS) </w:t>
      </w:r>
      <w:r w:rsidRPr="003A1E55" w:rsidR="00A053CA">
        <w:rPr>
          <w:szCs w:val="24"/>
        </w:rPr>
        <w:t>has previously issued guidance</w:t>
      </w:r>
      <w:r>
        <w:rPr>
          <w:rStyle w:val="FootnoteReference"/>
          <w:szCs w:val="24"/>
        </w:rPr>
        <w:footnoteReference w:id="2"/>
      </w:r>
      <w:r w:rsidRPr="003A1E55" w:rsidR="00A053CA">
        <w:rPr>
          <w:szCs w:val="24"/>
        </w:rPr>
        <w:t xml:space="preserve"> setting forth requirements for the use of video cameras by ICFs, which guidance may also serve as a useful reference for other provider types in determining what </w:t>
      </w:r>
      <w:r w:rsidRPr="003A1E55" w:rsidR="00015C0D">
        <w:rPr>
          <w:szCs w:val="24"/>
        </w:rPr>
        <w:t xml:space="preserve">would </w:t>
      </w:r>
      <w:r w:rsidRPr="003A1E55" w:rsidR="00A053CA">
        <w:rPr>
          <w:szCs w:val="24"/>
        </w:rPr>
        <w:t xml:space="preserve">constitute reasonable safeguards. </w:t>
      </w:r>
      <w:r w:rsidRPr="003A1E55" w:rsidR="008D0DA5">
        <w:rPr>
          <w:szCs w:val="24"/>
        </w:rPr>
        <w:t xml:space="preserve"> Specifically, the CMS</w:t>
      </w:r>
      <w:r w:rsidRPr="003A1E55" w:rsidR="00A053CA">
        <w:rPr>
          <w:szCs w:val="24"/>
        </w:rPr>
        <w:t xml:space="preserve"> guidance states that providers may use video cameras only in </w:t>
      </w:r>
      <w:r w:rsidRPr="003A1E55" w:rsidR="00A053CA">
        <w:rPr>
          <w:szCs w:val="24"/>
        </w:rPr>
        <w:t xml:space="preserve">the common areas or shared spaces of a facility, where residents have lower expectations of privacy and would typically be likely to encounter other individuals.  </w:t>
      </w:r>
      <w:r w:rsidRPr="003A1E55" w:rsidR="008D0DA5">
        <w:rPr>
          <w:szCs w:val="24"/>
        </w:rPr>
        <w:t xml:space="preserve">By contrast, a facility may </w:t>
      </w:r>
      <w:r w:rsidRPr="003A1E55" w:rsidR="008D0DA5">
        <w:rPr>
          <w:szCs w:val="24"/>
          <w:u w:val="single"/>
        </w:rPr>
        <w:t>never</w:t>
      </w:r>
      <w:r w:rsidRPr="003A1E55" w:rsidR="008D0DA5">
        <w:rPr>
          <w:szCs w:val="24"/>
        </w:rPr>
        <w:t xml:space="preserve"> use video cameras in areas where residents have the highest expectations of privacy, such as bathrooms or private visitation areas.  </w:t>
      </w:r>
      <w:r w:rsidRPr="003A1E55" w:rsidR="00A053CA">
        <w:rPr>
          <w:szCs w:val="24"/>
        </w:rPr>
        <w:t xml:space="preserve">  </w:t>
      </w:r>
    </w:p>
    <w:p w:rsidR="0099710B" w:rsidRPr="003A1E55" w:rsidP="00D25C27" w14:paraId="09F868BF" w14:textId="77777777">
      <w:pPr>
        <w:ind w:firstLine="720"/>
        <w:rPr>
          <w:szCs w:val="24"/>
        </w:rPr>
      </w:pPr>
    </w:p>
    <w:p w:rsidR="0099710B" w:rsidRPr="003A1E55" w:rsidP="00BA64BB" w14:paraId="19D71CD0" w14:textId="1971F07F">
      <w:pPr>
        <w:ind w:firstLine="720"/>
        <w:rPr>
          <w:szCs w:val="24"/>
        </w:rPr>
      </w:pPr>
      <w:r w:rsidRPr="003A1E55">
        <w:rPr>
          <w:szCs w:val="24"/>
        </w:rPr>
        <w:t xml:space="preserve">Additionally, the CMS guidance states </w:t>
      </w:r>
      <w:r w:rsidRPr="003A1E55" w:rsidR="0041605A">
        <w:rPr>
          <w:szCs w:val="24"/>
        </w:rPr>
        <w:t xml:space="preserve">that any use of video cameras by an ICF must first be reviewed and approved by the </w:t>
      </w:r>
      <w:r w:rsidR="00C07745">
        <w:rPr>
          <w:szCs w:val="24"/>
        </w:rPr>
        <w:t>s</w:t>
      </w:r>
      <w:r w:rsidRPr="003A1E55" w:rsidR="0041605A">
        <w:rPr>
          <w:szCs w:val="24"/>
        </w:rPr>
        <w:t xml:space="preserve">pecially </w:t>
      </w:r>
      <w:r w:rsidR="00C07745">
        <w:rPr>
          <w:szCs w:val="24"/>
        </w:rPr>
        <w:t>c</w:t>
      </w:r>
      <w:r w:rsidRPr="003A1E55" w:rsidR="0041605A">
        <w:rPr>
          <w:szCs w:val="24"/>
        </w:rPr>
        <w:t xml:space="preserve">onstituted </w:t>
      </w:r>
      <w:r w:rsidR="00C07745">
        <w:rPr>
          <w:szCs w:val="24"/>
        </w:rPr>
        <w:t>c</w:t>
      </w:r>
      <w:r w:rsidRPr="003A1E55" w:rsidR="0041605A">
        <w:rPr>
          <w:szCs w:val="24"/>
        </w:rPr>
        <w:t xml:space="preserve">ommittee (SCC) </w:t>
      </w:r>
      <w:r w:rsidR="00A869E9">
        <w:rPr>
          <w:szCs w:val="24"/>
        </w:rPr>
        <w:t xml:space="preserve">as constituted </w:t>
      </w:r>
      <w:r w:rsidRPr="003A1E55" w:rsidR="0041605A">
        <w:rPr>
          <w:szCs w:val="24"/>
        </w:rPr>
        <w:t>under 42 C.F.R. § 483.440</w:t>
      </w:r>
      <w:r w:rsidR="005A61E3">
        <w:rPr>
          <w:szCs w:val="24"/>
        </w:rPr>
        <w:t>.</w:t>
      </w:r>
      <w:r>
        <w:rPr>
          <w:rStyle w:val="FootnoteReference"/>
          <w:szCs w:val="24"/>
        </w:rPr>
        <w:footnoteReference w:id="3"/>
      </w:r>
      <w:r w:rsidR="005A61E3">
        <w:rPr>
          <w:szCs w:val="24"/>
        </w:rPr>
        <w:t xml:space="preserve"> </w:t>
      </w:r>
      <w:r w:rsidR="00C07745">
        <w:rPr>
          <w:szCs w:val="24"/>
        </w:rPr>
        <w:t xml:space="preserve"> Depending on the size, complexity, and available resources, an ICF may establish more than one SCC.</w:t>
      </w:r>
      <w:r>
        <w:rPr>
          <w:rStyle w:val="FootnoteReference"/>
          <w:szCs w:val="24"/>
        </w:rPr>
        <w:footnoteReference w:id="4"/>
      </w:r>
      <w:r w:rsidR="00C07745">
        <w:rPr>
          <w:szCs w:val="24"/>
        </w:rPr>
        <w:t xml:space="preserve">  </w:t>
      </w:r>
      <w:r w:rsidR="00BA64BB">
        <w:rPr>
          <w:szCs w:val="24"/>
        </w:rPr>
        <w:t>I</w:t>
      </w:r>
      <w:r w:rsidR="005A61E3">
        <w:rPr>
          <w:szCs w:val="24"/>
        </w:rPr>
        <w:t xml:space="preserve">n Ohio, the Human Rights Committee </w:t>
      </w:r>
      <w:r w:rsidR="00AA5AA5">
        <w:rPr>
          <w:szCs w:val="24"/>
        </w:rPr>
        <w:t xml:space="preserve">(HRC) </w:t>
      </w:r>
      <w:r w:rsidR="005A61E3">
        <w:rPr>
          <w:szCs w:val="24"/>
        </w:rPr>
        <w:t xml:space="preserve">required under Ohio Admin. Code </w:t>
      </w:r>
      <w:r w:rsidRPr="005A61E3" w:rsidR="005A61E3">
        <w:rPr>
          <w:szCs w:val="24"/>
        </w:rPr>
        <w:t xml:space="preserve">§ </w:t>
      </w:r>
      <w:r w:rsidR="005A61E3">
        <w:rPr>
          <w:szCs w:val="24"/>
        </w:rPr>
        <w:t xml:space="preserve">5123:2-2-06(F) for county boards and ICFs </w:t>
      </w:r>
      <w:r w:rsidR="00C07745">
        <w:rPr>
          <w:szCs w:val="24"/>
        </w:rPr>
        <w:t>could be</w:t>
      </w:r>
      <w:r w:rsidR="005A61E3">
        <w:rPr>
          <w:szCs w:val="24"/>
        </w:rPr>
        <w:t xml:space="preserve"> the applicable committee</w:t>
      </w:r>
      <w:r w:rsidR="00C07745">
        <w:rPr>
          <w:szCs w:val="24"/>
        </w:rPr>
        <w:t xml:space="preserve"> </w:t>
      </w:r>
      <w:r w:rsidR="005A61E3">
        <w:rPr>
          <w:szCs w:val="24"/>
        </w:rPr>
        <w:t>responsible for reviewing and approving the use of video cameras</w:t>
      </w:r>
      <w:r w:rsidR="00C07745">
        <w:rPr>
          <w:szCs w:val="24"/>
        </w:rPr>
        <w:t xml:space="preserve">, unless the facility has a different committee responsible for this </w:t>
      </w:r>
      <w:r w:rsidR="00084302">
        <w:rPr>
          <w:szCs w:val="24"/>
        </w:rPr>
        <w:t>specific task</w:t>
      </w:r>
      <w:r w:rsidR="005A61E3">
        <w:rPr>
          <w:szCs w:val="24"/>
        </w:rPr>
        <w:t>.</w:t>
      </w:r>
      <w:r>
        <w:rPr>
          <w:rStyle w:val="FootnoteReference"/>
          <w:szCs w:val="24"/>
        </w:rPr>
        <w:footnoteReference w:id="5"/>
      </w:r>
      <w:r w:rsidR="005A61E3">
        <w:rPr>
          <w:szCs w:val="24"/>
        </w:rPr>
        <w:t xml:space="preserve">  </w:t>
      </w:r>
      <w:r w:rsidR="00C07745">
        <w:rPr>
          <w:szCs w:val="24"/>
        </w:rPr>
        <w:t>The</w:t>
      </w:r>
      <w:r w:rsidR="005A61E3">
        <w:rPr>
          <w:szCs w:val="24"/>
        </w:rPr>
        <w:t xml:space="preserve"> ICF HRC </w:t>
      </w:r>
      <w:r w:rsidR="00C07745">
        <w:rPr>
          <w:szCs w:val="24"/>
        </w:rPr>
        <w:t xml:space="preserve">or other applicable SCC </w:t>
      </w:r>
      <w:r w:rsidR="005A61E3">
        <w:rPr>
          <w:szCs w:val="24"/>
        </w:rPr>
        <w:t>should therefore be involved with all decisions and policies regarding use of video cameras</w:t>
      </w:r>
      <w:r w:rsidR="00AA5AA5">
        <w:rPr>
          <w:szCs w:val="24"/>
        </w:rPr>
        <w:t xml:space="preserve"> in these facilities</w:t>
      </w:r>
      <w:r w:rsidR="005A61E3">
        <w:rPr>
          <w:szCs w:val="24"/>
        </w:rPr>
        <w:t>.  Moreover, although the CMS guidance</w:t>
      </w:r>
      <w:r w:rsidRPr="003A1E55" w:rsidR="0041605A">
        <w:rPr>
          <w:szCs w:val="24"/>
        </w:rPr>
        <w:t xml:space="preserve"> does not </w:t>
      </w:r>
      <w:r w:rsidR="00AA5AA5">
        <w:rPr>
          <w:szCs w:val="24"/>
        </w:rPr>
        <w:t xml:space="preserve">specifically </w:t>
      </w:r>
      <w:r w:rsidRPr="003A1E55" w:rsidR="0041605A">
        <w:rPr>
          <w:szCs w:val="24"/>
        </w:rPr>
        <w:t xml:space="preserve">apply to non-ICF provider types, we recommend </w:t>
      </w:r>
      <w:r w:rsidR="00AA5AA5">
        <w:rPr>
          <w:szCs w:val="24"/>
        </w:rPr>
        <w:t xml:space="preserve">that </w:t>
      </w:r>
      <w:r w:rsidR="00966CC7">
        <w:rPr>
          <w:szCs w:val="24"/>
        </w:rPr>
        <w:t>all residential facilities</w:t>
      </w:r>
      <w:r w:rsidR="005A61E3">
        <w:rPr>
          <w:szCs w:val="24"/>
        </w:rPr>
        <w:t xml:space="preserve"> </w:t>
      </w:r>
      <w:r w:rsidR="00AA5AA5">
        <w:rPr>
          <w:szCs w:val="24"/>
        </w:rPr>
        <w:t>seek input from</w:t>
      </w:r>
      <w:r w:rsidRPr="00AA5AA5" w:rsidR="00AA5AA5">
        <w:rPr>
          <w:szCs w:val="24"/>
        </w:rPr>
        <w:t xml:space="preserve"> county board </w:t>
      </w:r>
      <w:r w:rsidR="00AA5AA5">
        <w:rPr>
          <w:szCs w:val="24"/>
        </w:rPr>
        <w:t>HRCs, as well as</w:t>
      </w:r>
      <w:r w:rsidRPr="00AA5AA5" w:rsidR="00AA5AA5">
        <w:rPr>
          <w:szCs w:val="24"/>
        </w:rPr>
        <w:t xml:space="preserve"> </w:t>
      </w:r>
      <w:r w:rsidR="00AA5AA5">
        <w:rPr>
          <w:szCs w:val="24"/>
        </w:rPr>
        <w:t>from</w:t>
      </w:r>
      <w:r w:rsidRPr="003A1E55" w:rsidR="0041605A">
        <w:rPr>
          <w:szCs w:val="24"/>
        </w:rPr>
        <w:t xml:space="preserve"> staff, residents and their families and/or legal guardians, </w:t>
      </w:r>
      <w:r w:rsidR="00AA5AA5">
        <w:rPr>
          <w:szCs w:val="24"/>
        </w:rPr>
        <w:t xml:space="preserve">and any other </w:t>
      </w:r>
      <w:r w:rsidRPr="003A1E55" w:rsidR="0041605A">
        <w:rPr>
          <w:szCs w:val="24"/>
        </w:rPr>
        <w:t>qualified individuals</w:t>
      </w:r>
      <w:r w:rsidR="0057097F">
        <w:rPr>
          <w:szCs w:val="24"/>
        </w:rPr>
        <w:t>,</w:t>
      </w:r>
      <w:r w:rsidRPr="003A1E55" w:rsidR="0041605A">
        <w:rPr>
          <w:szCs w:val="24"/>
        </w:rPr>
        <w:t xml:space="preserve"> </w:t>
      </w:r>
      <w:r w:rsidRPr="003A1E55" w:rsidR="00602E1D">
        <w:rPr>
          <w:szCs w:val="24"/>
        </w:rPr>
        <w:t>regarding</w:t>
      </w:r>
      <w:r w:rsidRPr="003A1E55" w:rsidR="0041605A">
        <w:rPr>
          <w:szCs w:val="24"/>
        </w:rPr>
        <w:t xml:space="preserve"> the specifics of proposed video camera use.  In any case, all</w:t>
      </w:r>
      <w:r w:rsidRPr="003A1E55">
        <w:rPr>
          <w:szCs w:val="24"/>
        </w:rPr>
        <w:t xml:space="preserve"> </w:t>
      </w:r>
      <w:r w:rsidRPr="003A1E55" w:rsidR="00D67769">
        <w:rPr>
          <w:szCs w:val="24"/>
        </w:rPr>
        <w:t>affected residents and their families must be informed before a facility</w:t>
      </w:r>
      <w:r w:rsidR="00AA5AA5">
        <w:rPr>
          <w:szCs w:val="24"/>
        </w:rPr>
        <w:t xml:space="preserve"> </w:t>
      </w:r>
      <w:r w:rsidRPr="003A1E55" w:rsidR="00D67769">
        <w:rPr>
          <w:szCs w:val="24"/>
        </w:rPr>
        <w:t xml:space="preserve">implements any proposal to install and use video cameras, and must </w:t>
      </w:r>
      <w:r w:rsidRPr="003A1E55" w:rsidR="0041605A">
        <w:rPr>
          <w:szCs w:val="24"/>
        </w:rPr>
        <w:t>each</w:t>
      </w:r>
      <w:r>
        <w:rPr>
          <w:rStyle w:val="FootnoteReference"/>
          <w:szCs w:val="24"/>
        </w:rPr>
        <w:footnoteReference w:id="6"/>
      </w:r>
      <w:r w:rsidRPr="003A1E55" w:rsidR="0041605A">
        <w:rPr>
          <w:szCs w:val="24"/>
        </w:rPr>
        <w:t xml:space="preserve"> </w:t>
      </w:r>
      <w:r w:rsidRPr="003A1E55" w:rsidR="00D67769">
        <w:rPr>
          <w:szCs w:val="24"/>
        </w:rPr>
        <w:t xml:space="preserve">provide written consent </w:t>
      </w:r>
      <w:r w:rsidRPr="003A1E55" w:rsidR="0041605A">
        <w:rPr>
          <w:szCs w:val="24"/>
        </w:rPr>
        <w:t xml:space="preserve">prior to the cameras’ installation.  </w:t>
      </w:r>
    </w:p>
    <w:p w:rsidR="008D0DA5" w:rsidRPr="003A1E55" w:rsidP="00D25C27" w14:paraId="6C791E98" w14:textId="77777777">
      <w:pPr>
        <w:ind w:firstLine="720"/>
        <w:rPr>
          <w:szCs w:val="24"/>
        </w:rPr>
      </w:pPr>
    </w:p>
    <w:p w:rsidR="00C57765" w:rsidP="00D25C27" w14:paraId="7D978E8C" w14:textId="07D6A011">
      <w:pPr>
        <w:ind w:firstLine="720"/>
        <w:rPr>
          <w:szCs w:val="24"/>
        </w:rPr>
      </w:pPr>
      <w:r w:rsidRPr="003A1E55">
        <w:rPr>
          <w:szCs w:val="24"/>
        </w:rPr>
        <w:t>A</w:t>
      </w:r>
      <w:r w:rsidRPr="003A1E55">
        <w:rPr>
          <w:szCs w:val="24"/>
        </w:rPr>
        <w:t xml:space="preserve"> facility must</w:t>
      </w:r>
      <w:r w:rsidRPr="003A1E55">
        <w:rPr>
          <w:szCs w:val="24"/>
        </w:rPr>
        <w:t xml:space="preserve"> also</w:t>
      </w:r>
      <w:r w:rsidRPr="003A1E55">
        <w:rPr>
          <w:szCs w:val="24"/>
        </w:rPr>
        <w:t xml:space="preserve"> implement policies and procedures to ensure the confidentiality of any footage captured by its video cameras.  In particular, these policies and procedures should: (1) limit the persons permitted to view or access the footage; (2) ensure that all staff afforded access to the footage are trained on the facility’s policies and procedures, as well as on the protection of residents’ rights; and (3) ensure that adherence to the </w:t>
      </w:r>
      <w:r w:rsidRPr="003A1E55" w:rsidR="005565AC">
        <w:rPr>
          <w:szCs w:val="24"/>
        </w:rPr>
        <w:t xml:space="preserve">facility’s </w:t>
      </w:r>
      <w:r w:rsidRPr="003A1E55">
        <w:rPr>
          <w:szCs w:val="24"/>
        </w:rPr>
        <w:t xml:space="preserve">policies is monitored and that breaches or identified risks are promptly addressed. </w:t>
      </w:r>
      <w:r w:rsidRPr="003A1E55" w:rsidR="00602E1D">
        <w:rPr>
          <w:szCs w:val="24"/>
        </w:rPr>
        <w:t xml:space="preserve"> </w:t>
      </w:r>
    </w:p>
    <w:p w:rsidR="00BD3D10" w:rsidP="00D25C27" w14:paraId="4FC76139" w14:textId="26D0A269">
      <w:pPr>
        <w:ind w:firstLine="720"/>
        <w:rPr>
          <w:szCs w:val="24"/>
        </w:rPr>
      </w:pPr>
    </w:p>
    <w:p w:rsidR="00BD3D10" w:rsidRPr="003A1E55" w:rsidP="00D25C27" w14:paraId="2CF35456" w14:textId="11E09571">
      <w:pPr>
        <w:ind w:firstLine="720"/>
        <w:rPr>
          <w:szCs w:val="24"/>
        </w:rPr>
      </w:pPr>
      <w:r>
        <w:rPr>
          <w:szCs w:val="24"/>
        </w:rPr>
        <w:t xml:space="preserve">A facility should also implement policies and procedures which address how long video footage will be kept.  Facilities should be mindful that the videos </w:t>
      </w:r>
      <w:r w:rsidR="00755C20">
        <w:rPr>
          <w:szCs w:val="24"/>
        </w:rPr>
        <w:t>may</w:t>
      </w:r>
      <w:r>
        <w:rPr>
          <w:szCs w:val="24"/>
        </w:rPr>
        <w:t xml:space="preserve"> be subject to subpoena, investigatory requests by law enforcement or DRO</w:t>
      </w:r>
      <w:r w:rsidR="00225D61">
        <w:rPr>
          <w:szCs w:val="24"/>
        </w:rPr>
        <w:t>,</w:t>
      </w:r>
      <w:r>
        <w:rPr>
          <w:szCs w:val="24"/>
        </w:rPr>
        <w:t xml:space="preserve"> or by licensing or accreditation agencies.  We recommend that </w:t>
      </w:r>
      <w:r w:rsidR="00225D61">
        <w:rPr>
          <w:szCs w:val="24"/>
        </w:rPr>
        <w:t>providers</w:t>
      </w:r>
      <w:r>
        <w:rPr>
          <w:szCs w:val="24"/>
        </w:rPr>
        <w:t xml:space="preserve"> speak with their counsel before releasing such footage, as there may be a variety of legal and privacy issues to consider prior to release.  </w:t>
      </w:r>
    </w:p>
    <w:p w:rsidR="008D0DA5" w:rsidRPr="003A1E55" w:rsidP="00D25C27" w14:paraId="3A448F44" w14:textId="77777777">
      <w:pPr>
        <w:ind w:firstLine="720"/>
        <w:rPr>
          <w:szCs w:val="24"/>
        </w:rPr>
      </w:pPr>
    </w:p>
    <w:p w:rsidR="0099710B" w:rsidRPr="003A1E55" w:rsidP="00015C0D" w14:paraId="7338E7A9" w14:textId="77777777">
      <w:pPr>
        <w:ind w:firstLine="720"/>
        <w:rPr>
          <w:szCs w:val="24"/>
        </w:rPr>
      </w:pPr>
      <w:r w:rsidRPr="003A1E55">
        <w:rPr>
          <w:szCs w:val="24"/>
        </w:rPr>
        <w:t>Finally, the facility may not pass along the cost of its video cameras in the form of charges to residents or their families</w:t>
      </w:r>
      <w:r w:rsidRPr="003A1E55" w:rsidR="00015C0D">
        <w:rPr>
          <w:szCs w:val="24"/>
        </w:rPr>
        <w:t>,</w:t>
      </w:r>
      <w:r w:rsidRPr="003A1E55">
        <w:rPr>
          <w:szCs w:val="24"/>
        </w:rPr>
        <w:t xml:space="preserve"> but rather must incur any associated costs itself.  Video cameras are </w:t>
      </w:r>
      <w:r w:rsidRPr="003A1E55">
        <w:rPr>
          <w:szCs w:val="24"/>
          <w:u w:val="single"/>
        </w:rPr>
        <w:t>not</w:t>
      </w:r>
      <w:r w:rsidRPr="003A1E55">
        <w:rPr>
          <w:szCs w:val="24"/>
        </w:rPr>
        <w:t xml:space="preserve"> to be used as a substitute for </w:t>
      </w:r>
      <w:r w:rsidRPr="003A1E55" w:rsidR="00015C0D">
        <w:rPr>
          <w:szCs w:val="24"/>
        </w:rPr>
        <w:t xml:space="preserve">having appropriately trained </w:t>
      </w:r>
      <w:r w:rsidRPr="003A1E55">
        <w:rPr>
          <w:szCs w:val="24"/>
        </w:rPr>
        <w:t xml:space="preserve">staff </w:t>
      </w:r>
      <w:r w:rsidRPr="003A1E55" w:rsidR="00015C0D">
        <w:rPr>
          <w:szCs w:val="24"/>
        </w:rPr>
        <w:t xml:space="preserve">available </w:t>
      </w:r>
      <w:r w:rsidRPr="003A1E55">
        <w:rPr>
          <w:szCs w:val="24"/>
        </w:rPr>
        <w:t>on-site</w:t>
      </w:r>
      <w:r w:rsidRPr="003A1E55" w:rsidR="00015C0D">
        <w:rPr>
          <w:szCs w:val="24"/>
        </w:rPr>
        <w:t>.</w:t>
      </w:r>
      <w:r w:rsidRPr="003A1E55">
        <w:rPr>
          <w:szCs w:val="24"/>
        </w:rPr>
        <w:t xml:space="preserve"> </w:t>
      </w:r>
    </w:p>
    <w:p w:rsidR="0099710B" w:rsidRPr="003A1E55" w:rsidP="00D25C27" w14:paraId="691C34EE" w14:textId="77777777">
      <w:pPr>
        <w:ind w:firstLine="720"/>
        <w:rPr>
          <w:szCs w:val="24"/>
        </w:rPr>
      </w:pPr>
    </w:p>
    <w:p w:rsidR="0099710B" w:rsidRPr="003A1E55" w:rsidP="00D25C27" w14:paraId="7A277615" w14:textId="01EEB16C">
      <w:pPr>
        <w:ind w:firstLine="720"/>
        <w:rPr>
          <w:i/>
          <w:szCs w:val="24"/>
        </w:rPr>
      </w:pPr>
      <w:r w:rsidRPr="003A1E55">
        <w:rPr>
          <w:i/>
          <w:szCs w:val="24"/>
        </w:rPr>
        <w:t>b.</w:t>
      </w:r>
      <w:r w:rsidRPr="003A1E55">
        <w:rPr>
          <w:i/>
          <w:szCs w:val="24"/>
        </w:rPr>
        <w:tab/>
        <w:t>Use of Video</w:t>
      </w:r>
      <w:r w:rsidRPr="003A1E55" w:rsidR="00602E1D">
        <w:rPr>
          <w:i/>
          <w:szCs w:val="24"/>
        </w:rPr>
        <w:t xml:space="preserve"> C</w:t>
      </w:r>
      <w:r w:rsidRPr="003A1E55">
        <w:rPr>
          <w:i/>
          <w:szCs w:val="24"/>
        </w:rPr>
        <w:t>ameras by Residents’ Family Members and Other Visitors</w:t>
      </w:r>
    </w:p>
    <w:p w:rsidR="005F19B3" w:rsidRPr="003A1E55" w:rsidP="00D25C27" w14:paraId="56EA0BD9" w14:textId="77777777">
      <w:pPr>
        <w:ind w:firstLine="720"/>
        <w:rPr>
          <w:szCs w:val="24"/>
        </w:rPr>
      </w:pPr>
    </w:p>
    <w:p w:rsidR="005F19B3" w:rsidRPr="003A1E55" w:rsidP="00602E1D" w14:paraId="6BD5665C" w14:textId="77777777">
      <w:pPr>
        <w:ind w:firstLine="720"/>
        <w:rPr>
          <w:szCs w:val="24"/>
        </w:rPr>
      </w:pPr>
      <w:r w:rsidRPr="003A1E55">
        <w:rPr>
          <w:szCs w:val="24"/>
        </w:rPr>
        <w:t xml:space="preserve">A residential facility retains responsibility for protecting its residents’ privacy when video cameras are brought into the facility by residents’ family members or other visitors, but must also </w:t>
      </w:r>
      <w:r w:rsidRPr="003A1E55" w:rsidR="00B7329D">
        <w:rPr>
          <w:szCs w:val="24"/>
        </w:rPr>
        <w:t>strive to minimize any interference with</w:t>
      </w:r>
      <w:r w:rsidRPr="003A1E55">
        <w:rPr>
          <w:szCs w:val="24"/>
        </w:rPr>
        <w:t xml:space="preserve"> a resident’s right to receive visitors and communicate with loved ones.  </w:t>
      </w:r>
    </w:p>
    <w:p w:rsidR="00602E1D" w:rsidRPr="003A1E55" w:rsidP="00D25C27" w14:paraId="74C4D227" w14:textId="77777777">
      <w:pPr>
        <w:ind w:firstLine="720"/>
        <w:rPr>
          <w:szCs w:val="24"/>
        </w:rPr>
      </w:pPr>
    </w:p>
    <w:p w:rsidR="00F766CF" w:rsidRPr="003A1E55" w:rsidP="00F766CF" w14:paraId="3DBF1063" w14:textId="4ADA5A13">
      <w:pPr>
        <w:ind w:firstLine="720"/>
        <w:rPr>
          <w:szCs w:val="24"/>
        </w:rPr>
      </w:pPr>
      <w:r w:rsidRPr="003A1E55">
        <w:rPr>
          <w:szCs w:val="24"/>
        </w:rPr>
        <w:t xml:space="preserve">We recommend establishing policies that specifically address visitors’ use of video cameras, and </w:t>
      </w:r>
      <w:r w:rsidRPr="003A1E55" w:rsidR="005748CA">
        <w:rPr>
          <w:szCs w:val="24"/>
        </w:rPr>
        <w:t xml:space="preserve">displaying or distributing such policies in a manner reasonably calculated to reach all visitors to the facility.  </w:t>
      </w:r>
      <w:r w:rsidRPr="003A1E55" w:rsidR="004546A5">
        <w:rPr>
          <w:szCs w:val="24"/>
        </w:rPr>
        <w:t>In particular, t</w:t>
      </w:r>
      <w:r w:rsidRPr="003A1E55" w:rsidR="005748CA">
        <w:rPr>
          <w:szCs w:val="24"/>
        </w:rPr>
        <w:t xml:space="preserve">hese policies should </w:t>
      </w:r>
      <w:r w:rsidRPr="003A1E55" w:rsidR="004546A5">
        <w:rPr>
          <w:szCs w:val="24"/>
        </w:rPr>
        <w:t xml:space="preserve">delineate any specific areas of the facility where the use of video cameras is prohibited (e.g., bathrooms), </w:t>
      </w:r>
      <w:r w:rsidR="00BD3D10">
        <w:rPr>
          <w:szCs w:val="24"/>
        </w:rPr>
        <w:t xml:space="preserve">discuss the types of video recording allowed at the facility, </w:t>
      </w:r>
      <w:r w:rsidRPr="003A1E55" w:rsidR="004546A5">
        <w:rPr>
          <w:szCs w:val="24"/>
        </w:rPr>
        <w:t xml:space="preserve">and set forth clear and reasonable procedures for monitoring and enforcement.  If living units within the facility are shared by multiple residents, the policies should also (1) require that all occupants of a unit give consent before video recording is permitted inside the unit, and (2) identify alternative areas within the facility for the use of residents whose roommates have declined consent. </w:t>
      </w:r>
      <w:r w:rsidRPr="003A1E55">
        <w:rPr>
          <w:szCs w:val="24"/>
        </w:rPr>
        <w:t xml:space="preserve"> </w:t>
      </w:r>
      <w:r w:rsidR="002B4441">
        <w:rPr>
          <w:szCs w:val="24"/>
        </w:rPr>
        <w:t xml:space="preserve">Providers may also wish to set parameters or limits regarding the use of live video streaming by families.  </w:t>
      </w:r>
    </w:p>
    <w:p w:rsidR="00294379" w:rsidRPr="003A1E55" w:rsidP="00AD654F" w14:paraId="65E4874B" w14:textId="77777777">
      <w:pPr>
        <w:rPr>
          <w:szCs w:val="24"/>
        </w:rPr>
      </w:pPr>
    </w:p>
    <w:p w:rsidR="00FA6A3A" w:rsidRPr="003A1E55" w:rsidP="00FA6A3A" w14:paraId="0B274694" w14:textId="77777777">
      <w:pPr>
        <w:pStyle w:val="ListParagraph"/>
        <w:numPr>
          <w:ilvl w:val="0"/>
          <w:numId w:val="1"/>
        </w:numPr>
        <w:rPr>
          <w:b/>
          <w:szCs w:val="24"/>
        </w:rPr>
      </w:pPr>
      <w:r w:rsidRPr="003A1E55">
        <w:rPr>
          <w:b/>
          <w:szCs w:val="24"/>
        </w:rPr>
        <w:t>Employment Considerations</w:t>
      </w:r>
    </w:p>
    <w:p w:rsidR="00B11092" w:rsidRPr="003A1E55" w:rsidP="00B11092" w14:paraId="7CCB58AE" w14:textId="77777777">
      <w:pPr>
        <w:pStyle w:val="ListParagraph"/>
        <w:ind w:left="1440"/>
        <w:rPr>
          <w:b/>
          <w:szCs w:val="24"/>
        </w:rPr>
      </w:pPr>
    </w:p>
    <w:p w:rsidR="00120FA7" w:rsidRPr="003A1E55" w:rsidP="00B11092" w14:paraId="2015FEE7" w14:textId="77777777">
      <w:pPr>
        <w:ind w:firstLine="720"/>
        <w:rPr>
          <w:szCs w:val="24"/>
        </w:rPr>
      </w:pPr>
      <w:r w:rsidRPr="003A1E55">
        <w:rPr>
          <w:szCs w:val="24"/>
        </w:rPr>
        <w:t>In addition to res</w:t>
      </w:r>
      <w:r w:rsidRPr="003A1E55">
        <w:rPr>
          <w:szCs w:val="24"/>
        </w:rPr>
        <w:t>p</w:t>
      </w:r>
      <w:r w:rsidRPr="003A1E55">
        <w:rPr>
          <w:szCs w:val="24"/>
        </w:rPr>
        <w:t xml:space="preserve">ecting the privacy rights of residents, facilities must also be mindful of the privacy interests of employees providing services to those residents. </w:t>
      </w:r>
      <w:r w:rsidR="00967D79">
        <w:rPr>
          <w:szCs w:val="24"/>
        </w:rPr>
        <w:t xml:space="preserve"> </w:t>
      </w:r>
      <w:r w:rsidRPr="003A1E55">
        <w:rPr>
          <w:szCs w:val="24"/>
        </w:rPr>
        <w:t xml:space="preserve">Employee privacy rights are governed primarily by common law principles, and may </w:t>
      </w:r>
      <w:r w:rsidRPr="003A1E55" w:rsidR="00B11092">
        <w:rPr>
          <w:szCs w:val="24"/>
        </w:rPr>
        <w:t xml:space="preserve">also </w:t>
      </w:r>
      <w:r w:rsidRPr="003A1E55">
        <w:rPr>
          <w:szCs w:val="24"/>
        </w:rPr>
        <w:t>be subject to additional restrictions on recording found in the Electronic Communications Privacy Act (EPCA)</w:t>
      </w:r>
      <w:r w:rsidRPr="003A1E55" w:rsidR="00434666">
        <w:rPr>
          <w:szCs w:val="24"/>
        </w:rPr>
        <w:t>, 18 U.S.C. § 2510</w:t>
      </w:r>
      <w:r w:rsidRPr="003A1E55">
        <w:rPr>
          <w:szCs w:val="24"/>
        </w:rPr>
        <w:t xml:space="preserve">. </w:t>
      </w:r>
      <w:r w:rsidR="00967D79">
        <w:rPr>
          <w:szCs w:val="24"/>
        </w:rPr>
        <w:t xml:space="preserve"> </w:t>
      </w:r>
      <w:r w:rsidRPr="003A1E55" w:rsidR="00434666">
        <w:rPr>
          <w:szCs w:val="24"/>
        </w:rPr>
        <w:t xml:space="preserve">These legal principles </w:t>
      </w:r>
      <w:r w:rsidRPr="003A1E55" w:rsidR="00204FC8">
        <w:rPr>
          <w:szCs w:val="24"/>
        </w:rPr>
        <w:t xml:space="preserve">generally require notice and consent to audio recording and prohibit </w:t>
      </w:r>
      <w:r w:rsidRPr="003A1E55" w:rsidR="00B11092">
        <w:rPr>
          <w:szCs w:val="24"/>
        </w:rPr>
        <w:t xml:space="preserve">all types of </w:t>
      </w:r>
      <w:r w:rsidRPr="003A1E55" w:rsidR="00204FC8">
        <w:rPr>
          <w:szCs w:val="24"/>
        </w:rPr>
        <w:t xml:space="preserve">recording devices in spaces where the employee has a reasonable expectation of privacy. </w:t>
      </w:r>
      <w:r w:rsidR="00967D79">
        <w:rPr>
          <w:szCs w:val="24"/>
        </w:rPr>
        <w:t xml:space="preserve"> </w:t>
      </w:r>
      <w:r w:rsidRPr="003A1E55" w:rsidR="00B11092">
        <w:rPr>
          <w:szCs w:val="24"/>
        </w:rPr>
        <w:t xml:space="preserve">The following recommendations apply regardless of whether the employer or a family member installs the camera in the workspace.  </w:t>
      </w:r>
    </w:p>
    <w:p w:rsidR="009F538E" w:rsidRPr="003A1E55" w:rsidP="009F538E" w14:paraId="06E0A8C8" w14:textId="77777777">
      <w:pPr>
        <w:rPr>
          <w:szCs w:val="24"/>
        </w:rPr>
      </w:pPr>
    </w:p>
    <w:p w:rsidR="00120FA7" w:rsidRPr="003A1E55" w:rsidP="00DB2FA0" w14:paraId="73B7B15B" w14:textId="77777777">
      <w:pPr>
        <w:pStyle w:val="ListParagraph"/>
        <w:numPr>
          <w:ilvl w:val="0"/>
          <w:numId w:val="6"/>
        </w:numPr>
        <w:rPr>
          <w:szCs w:val="24"/>
        </w:rPr>
      </w:pPr>
      <w:r w:rsidRPr="003A1E55">
        <w:rPr>
          <w:i/>
          <w:szCs w:val="24"/>
        </w:rPr>
        <w:t>Use of cameras in b</w:t>
      </w:r>
      <w:r w:rsidRPr="003A1E55" w:rsidR="00204FC8">
        <w:rPr>
          <w:i/>
          <w:szCs w:val="24"/>
        </w:rPr>
        <w:t>athrooms and other</w:t>
      </w:r>
      <w:r w:rsidRPr="003A1E55">
        <w:rPr>
          <w:i/>
          <w:szCs w:val="24"/>
        </w:rPr>
        <w:t xml:space="preserve"> private spaces</w:t>
      </w:r>
      <w:r w:rsidRPr="003A1E55">
        <w:rPr>
          <w:szCs w:val="24"/>
        </w:rPr>
        <w:t xml:space="preserve">. </w:t>
      </w:r>
      <w:r w:rsidR="00967D79">
        <w:rPr>
          <w:szCs w:val="24"/>
        </w:rPr>
        <w:t xml:space="preserve"> </w:t>
      </w:r>
      <w:r w:rsidRPr="003A1E55">
        <w:rPr>
          <w:szCs w:val="24"/>
        </w:rPr>
        <w:t xml:space="preserve">In broad summary, </w:t>
      </w:r>
      <w:r w:rsidRPr="003A1E55" w:rsidR="00204FC8">
        <w:rPr>
          <w:szCs w:val="24"/>
        </w:rPr>
        <w:t xml:space="preserve">both the </w:t>
      </w:r>
      <w:r w:rsidRPr="003A1E55">
        <w:rPr>
          <w:szCs w:val="24"/>
        </w:rPr>
        <w:t>EPCA and Ohio’s common law impose limitations on an employer’s ability to record employees in areas where they have a reasonable expectation of privacy.  Such areas include bathrooms or other similar private spaces</w:t>
      </w:r>
      <w:r w:rsidRPr="003A1E55" w:rsidR="00204FC8">
        <w:rPr>
          <w:szCs w:val="24"/>
        </w:rPr>
        <w:t>, such as dressing rooms and other enclosed spaces</w:t>
      </w:r>
      <w:r w:rsidRPr="003A1E55">
        <w:rPr>
          <w:szCs w:val="24"/>
        </w:rPr>
        <w:t xml:space="preserve"> where employees would </w:t>
      </w:r>
      <w:r w:rsidR="00C90600">
        <w:rPr>
          <w:szCs w:val="24"/>
        </w:rPr>
        <w:t>reasonably assume that they are</w:t>
      </w:r>
      <w:r w:rsidRPr="003A1E55" w:rsidR="00204FC8">
        <w:rPr>
          <w:szCs w:val="24"/>
        </w:rPr>
        <w:t xml:space="preserve"> alone and not being watched</w:t>
      </w:r>
      <w:r w:rsidRPr="003A1E55">
        <w:rPr>
          <w:szCs w:val="24"/>
        </w:rPr>
        <w:t xml:space="preserve">. </w:t>
      </w:r>
      <w:r w:rsidR="00967D79">
        <w:rPr>
          <w:szCs w:val="24"/>
        </w:rPr>
        <w:t xml:space="preserve"> </w:t>
      </w:r>
      <w:r w:rsidRPr="003A1E55">
        <w:rPr>
          <w:szCs w:val="24"/>
        </w:rPr>
        <w:t>Employees may give consent to such monitoring, but even with consent</w:t>
      </w:r>
      <w:r w:rsidR="00967D79">
        <w:rPr>
          <w:szCs w:val="24"/>
        </w:rPr>
        <w:t>,</w:t>
      </w:r>
      <w:r w:rsidRPr="003A1E55">
        <w:rPr>
          <w:szCs w:val="24"/>
        </w:rPr>
        <w:t xml:space="preserve"> it would not be </w:t>
      </w:r>
      <w:r w:rsidRPr="003A1E55">
        <w:rPr>
          <w:szCs w:val="24"/>
        </w:rPr>
        <w:t>advisable</w:t>
      </w:r>
      <w:r w:rsidRPr="003A1E55">
        <w:rPr>
          <w:szCs w:val="24"/>
        </w:rPr>
        <w:t xml:space="preserve"> to have a camera in a bathroom or </w:t>
      </w:r>
      <w:r w:rsidRPr="003A1E55" w:rsidR="00DB2FA0">
        <w:rPr>
          <w:szCs w:val="24"/>
        </w:rPr>
        <w:t>similarly</w:t>
      </w:r>
      <w:r w:rsidRPr="003A1E55">
        <w:rPr>
          <w:szCs w:val="24"/>
        </w:rPr>
        <w:t xml:space="preserve"> privat</w:t>
      </w:r>
      <w:r w:rsidRPr="003A1E55">
        <w:rPr>
          <w:szCs w:val="24"/>
        </w:rPr>
        <w:t>e space</w:t>
      </w:r>
      <w:r w:rsidRPr="003A1E55">
        <w:rPr>
          <w:szCs w:val="24"/>
        </w:rPr>
        <w:t xml:space="preserve">. </w:t>
      </w:r>
      <w:r w:rsidR="00967D79">
        <w:rPr>
          <w:szCs w:val="24"/>
        </w:rPr>
        <w:t xml:space="preserve"> </w:t>
      </w:r>
      <w:r w:rsidRPr="003A1E55">
        <w:rPr>
          <w:szCs w:val="24"/>
        </w:rPr>
        <w:t xml:space="preserve">Such “consent” would likely be found to be too coercive to be meaningful, resulting in a </w:t>
      </w:r>
      <w:r w:rsidRPr="003A1E55" w:rsidR="00DB2FA0">
        <w:rPr>
          <w:szCs w:val="24"/>
        </w:rPr>
        <w:t>potential</w:t>
      </w:r>
      <w:r w:rsidRPr="003A1E55">
        <w:rPr>
          <w:szCs w:val="24"/>
        </w:rPr>
        <w:t xml:space="preserve"> </w:t>
      </w:r>
      <w:r w:rsidRPr="003A1E55" w:rsidR="00DB2FA0">
        <w:rPr>
          <w:szCs w:val="24"/>
        </w:rPr>
        <w:t>violation</w:t>
      </w:r>
      <w:r w:rsidRPr="003A1E55" w:rsidR="00204FC8">
        <w:rPr>
          <w:szCs w:val="24"/>
        </w:rPr>
        <w:t xml:space="preserve"> of </w:t>
      </w:r>
      <w:r w:rsidRPr="003A1E55">
        <w:rPr>
          <w:szCs w:val="24"/>
        </w:rPr>
        <w:t>statutory or common law</w:t>
      </w:r>
      <w:r w:rsidRPr="003A1E55" w:rsidR="00204FC8">
        <w:rPr>
          <w:szCs w:val="24"/>
        </w:rPr>
        <w:t xml:space="preserve"> requirements</w:t>
      </w:r>
      <w:r w:rsidRPr="003A1E55">
        <w:rPr>
          <w:szCs w:val="24"/>
        </w:rPr>
        <w:t xml:space="preserve">. </w:t>
      </w:r>
      <w:r w:rsidR="00967D79">
        <w:rPr>
          <w:szCs w:val="24"/>
        </w:rPr>
        <w:t xml:space="preserve"> </w:t>
      </w:r>
      <w:r w:rsidRPr="003A1E55" w:rsidR="00204FC8">
        <w:rPr>
          <w:szCs w:val="24"/>
        </w:rPr>
        <w:t xml:space="preserve">Consequently, cameras should not be permitted in bathrooms or other private spaces used by employees. </w:t>
      </w:r>
    </w:p>
    <w:p w:rsidR="00B11092" w:rsidRPr="003A1E55" w:rsidP="00B11092" w14:paraId="691BF2CE" w14:textId="77777777">
      <w:pPr>
        <w:pStyle w:val="ListParagraph"/>
        <w:ind w:left="2160"/>
        <w:rPr>
          <w:szCs w:val="24"/>
        </w:rPr>
      </w:pPr>
    </w:p>
    <w:p w:rsidR="00DB2FA0" w:rsidRPr="003A1E55" w:rsidP="00967D79" w14:paraId="703EC7B0" w14:textId="77777777">
      <w:pPr>
        <w:pStyle w:val="ListParagraph"/>
        <w:numPr>
          <w:ilvl w:val="0"/>
          <w:numId w:val="6"/>
        </w:numPr>
        <w:rPr>
          <w:szCs w:val="24"/>
        </w:rPr>
      </w:pPr>
      <w:r w:rsidRPr="003A1E55">
        <w:rPr>
          <w:i/>
          <w:szCs w:val="24"/>
        </w:rPr>
        <w:t>Disclosure of cameras to staff</w:t>
      </w:r>
      <w:r w:rsidRPr="003A1E55">
        <w:rPr>
          <w:szCs w:val="24"/>
        </w:rPr>
        <w:t xml:space="preserve">.  Even in “open” areas of a living unit, an employee may assume that </w:t>
      </w:r>
      <w:r w:rsidR="00967D79">
        <w:rPr>
          <w:szCs w:val="24"/>
        </w:rPr>
        <w:t xml:space="preserve">he or </w:t>
      </w:r>
      <w:r w:rsidRPr="003A1E55">
        <w:rPr>
          <w:szCs w:val="24"/>
        </w:rPr>
        <w:t xml:space="preserve">she is alone in a space when no one else is present – and may, consequently, do things </w:t>
      </w:r>
      <w:r w:rsidRPr="00967D79" w:rsidR="00967D79">
        <w:rPr>
          <w:szCs w:val="24"/>
        </w:rPr>
        <w:t xml:space="preserve">that the individual considers private </w:t>
      </w:r>
      <w:r w:rsidRPr="003A1E55">
        <w:rPr>
          <w:szCs w:val="24"/>
        </w:rPr>
        <w:t xml:space="preserve">(such as, for example, </w:t>
      </w:r>
      <w:r w:rsidRPr="003A1E55" w:rsidR="00967D79">
        <w:rPr>
          <w:szCs w:val="24"/>
        </w:rPr>
        <w:t>chang</w:t>
      </w:r>
      <w:r w:rsidR="00967D79">
        <w:rPr>
          <w:szCs w:val="24"/>
        </w:rPr>
        <w:t>e</w:t>
      </w:r>
      <w:r w:rsidRPr="003A1E55" w:rsidR="00967D79">
        <w:rPr>
          <w:szCs w:val="24"/>
        </w:rPr>
        <w:t xml:space="preserve"> </w:t>
      </w:r>
      <w:r w:rsidRPr="003A1E55">
        <w:rPr>
          <w:szCs w:val="24"/>
        </w:rPr>
        <w:t xml:space="preserve">clothes, </w:t>
      </w:r>
      <w:r w:rsidR="00967D79">
        <w:rPr>
          <w:szCs w:val="24"/>
        </w:rPr>
        <w:t>self-administer</w:t>
      </w:r>
      <w:r w:rsidRPr="003A1E55">
        <w:rPr>
          <w:szCs w:val="24"/>
        </w:rPr>
        <w:t xml:space="preserve"> </w:t>
      </w:r>
      <w:r w:rsidR="00967D79">
        <w:rPr>
          <w:szCs w:val="24"/>
        </w:rPr>
        <w:t xml:space="preserve">an </w:t>
      </w:r>
      <w:r w:rsidRPr="003A1E55">
        <w:rPr>
          <w:szCs w:val="24"/>
        </w:rPr>
        <w:t>insulin injection, or pump</w:t>
      </w:r>
      <w:r w:rsidR="00967D79">
        <w:rPr>
          <w:szCs w:val="24"/>
        </w:rPr>
        <w:t xml:space="preserve"> </w:t>
      </w:r>
      <w:r w:rsidRPr="003A1E55">
        <w:rPr>
          <w:szCs w:val="24"/>
        </w:rPr>
        <w:t xml:space="preserve">breast </w:t>
      </w:r>
      <w:r w:rsidRPr="003A1E55" w:rsidR="00AF7CA0">
        <w:rPr>
          <w:szCs w:val="24"/>
        </w:rPr>
        <w:t>m</w:t>
      </w:r>
      <w:r w:rsidRPr="003A1E55">
        <w:rPr>
          <w:szCs w:val="24"/>
        </w:rPr>
        <w:t>ilk)</w:t>
      </w:r>
      <w:r w:rsidRPr="003A1E55" w:rsidR="00AF7CA0">
        <w:rPr>
          <w:szCs w:val="24"/>
        </w:rPr>
        <w:t>.</w:t>
      </w:r>
      <w:r w:rsidRPr="003A1E55">
        <w:rPr>
          <w:szCs w:val="24"/>
        </w:rPr>
        <w:t xml:space="preserve"> </w:t>
      </w:r>
      <w:r w:rsidR="00967D79">
        <w:rPr>
          <w:szCs w:val="24"/>
        </w:rPr>
        <w:t xml:space="preserve"> </w:t>
      </w:r>
      <w:r w:rsidRPr="003A1E55">
        <w:rPr>
          <w:szCs w:val="24"/>
        </w:rPr>
        <w:t xml:space="preserve">To avoid issues regarding employees being recorded without their knowledge or consent </w:t>
      </w:r>
      <w:r w:rsidRPr="003A1E55" w:rsidR="00AF7CA0">
        <w:rPr>
          <w:szCs w:val="24"/>
        </w:rPr>
        <w:t>in such circumstances</w:t>
      </w:r>
      <w:r w:rsidRPr="003A1E55" w:rsidR="00204FC8">
        <w:rPr>
          <w:szCs w:val="24"/>
        </w:rPr>
        <w:t>,</w:t>
      </w:r>
      <w:r w:rsidRPr="003A1E55" w:rsidR="00AF7CA0">
        <w:rPr>
          <w:szCs w:val="24"/>
        </w:rPr>
        <w:t xml:space="preserve"> the policies should include written advance notification to employees of the locations of any and all cameras in living units and </w:t>
      </w:r>
      <w:r w:rsidRPr="003A1E55" w:rsidR="00204FC8">
        <w:rPr>
          <w:szCs w:val="24"/>
        </w:rPr>
        <w:t>a description</w:t>
      </w:r>
      <w:r w:rsidRPr="003A1E55" w:rsidR="00023F98">
        <w:rPr>
          <w:szCs w:val="24"/>
        </w:rPr>
        <w:t xml:space="preserve"> </w:t>
      </w:r>
      <w:r w:rsidRPr="003A1E55" w:rsidR="00204FC8">
        <w:rPr>
          <w:szCs w:val="24"/>
        </w:rPr>
        <w:t xml:space="preserve">of </w:t>
      </w:r>
      <w:r w:rsidRPr="003A1E55" w:rsidR="00023F98">
        <w:rPr>
          <w:szCs w:val="24"/>
        </w:rPr>
        <w:t xml:space="preserve">whether those cameras record both sound and imagery. </w:t>
      </w:r>
      <w:r w:rsidR="00967D79">
        <w:rPr>
          <w:szCs w:val="24"/>
        </w:rPr>
        <w:t xml:space="preserve"> </w:t>
      </w:r>
      <w:r w:rsidRPr="003A1E55" w:rsidR="00023F98">
        <w:rPr>
          <w:szCs w:val="24"/>
        </w:rPr>
        <w:t>The employees should sign those notifications in order to ensure that they are aware of and consent to the cameras.</w:t>
      </w:r>
    </w:p>
    <w:p w:rsidR="00B11092" w:rsidRPr="003A1E55" w:rsidP="00B11092" w14:paraId="337F98A2" w14:textId="77777777">
      <w:pPr>
        <w:pStyle w:val="ListParagraph"/>
        <w:ind w:left="2160"/>
        <w:rPr>
          <w:szCs w:val="24"/>
        </w:rPr>
      </w:pPr>
    </w:p>
    <w:p w:rsidR="00023F98" w:rsidP="00DB2FA0" w14:paraId="410F55B2" w14:textId="77777777">
      <w:pPr>
        <w:pStyle w:val="ListParagraph"/>
        <w:numPr>
          <w:ilvl w:val="0"/>
          <w:numId w:val="6"/>
        </w:numPr>
        <w:rPr>
          <w:szCs w:val="24"/>
        </w:rPr>
      </w:pPr>
      <w:r w:rsidRPr="003A1E55">
        <w:rPr>
          <w:i/>
          <w:szCs w:val="24"/>
        </w:rPr>
        <w:t>Extra precautions for audio recording</w:t>
      </w:r>
      <w:r w:rsidRPr="003A1E55">
        <w:rPr>
          <w:szCs w:val="24"/>
        </w:rPr>
        <w:t xml:space="preserve">. </w:t>
      </w:r>
      <w:r w:rsidR="00967D79">
        <w:rPr>
          <w:szCs w:val="24"/>
        </w:rPr>
        <w:t xml:space="preserve"> </w:t>
      </w:r>
      <w:r w:rsidRPr="003A1E55">
        <w:rPr>
          <w:szCs w:val="24"/>
        </w:rPr>
        <w:t xml:space="preserve">Both federal </w:t>
      </w:r>
      <w:r w:rsidRPr="003A1E55" w:rsidR="00434666">
        <w:rPr>
          <w:szCs w:val="24"/>
        </w:rPr>
        <w:t>law</w:t>
      </w:r>
      <w:r w:rsidRPr="003A1E55">
        <w:rPr>
          <w:szCs w:val="24"/>
        </w:rPr>
        <w:t xml:space="preserve"> and Ohio law require a minimum of “one party consent” to any audio recordings.</w:t>
      </w:r>
      <w:r>
        <w:rPr>
          <w:rStyle w:val="FootnoteReference"/>
          <w:szCs w:val="24"/>
        </w:rPr>
        <w:footnoteReference w:id="7"/>
      </w:r>
      <w:r w:rsidRPr="003A1E55">
        <w:rPr>
          <w:szCs w:val="24"/>
        </w:rPr>
        <w:t xml:space="preserve"> </w:t>
      </w:r>
      <w:r w:rsidRPr="003A1E55" w:rsidR="00204FC8">
        <w:rPr>
          <w:szCs w:val="24"/>
        </w:rPr>
        <w:t xml:space="preserve"> </w:t>
      </w:r>
      <w:r w:rsidRPr="003A1E55">
        <w:rPr>
          <w:szCs w:val="24"/>
        </w:rPr>
        <w:t xml:space="preserve">This means that in any recorded conversation, at </w:t>
      </w:r>
      <w:r w:rsidRPr="003A1E55" w:rsidR="00434666">
        <w:rPr>
          <w:szCs w:val="24"/>
        </w:rPr>
        <w:t>least</w:t>
      </w:r>
      <w:r w:rsidRPr="003A1E55">
        <w:rPr>
          <w:szCs w:val="24"/>
        </w:rPr>
        <w:t xml:space="preserve"> one party to that conve</w:t>
      </w:r>
      <w:r w:rsidRPr="003A1E55" w:rsidR="00434666">
        <w:rPr>
          <w:szCs w:val="24"/>
        </w:rPr>
        <w:t xml:space="preserve">rsation must consent to the recording. </w:t>
      </w:r>
      <w:r w:rsidR="00967D79">
        <w:rPr>
          <w:szCs w:val="24"/>
        </w:rPr>
        <w:t xml:space="preserve"> </w:t>
      </w:r>
      <w:r w:rsidRPr="003A1E55" w:rsidR="00434666">
        <w:rPr>
          <w:szCs w:val="24"/>
        </w:rPr>
        <w:t xml:space="preserve">Recording devices left in rooms in which non-consenting individuals might be recorded – for example, visitors who are unaware of the presence of the devices – could violate these legal requirements.  Accordingly, notices should be posted in any room in which audio recording devices, whether in cameras or otherwise, are present. </w:t>
      </w:r>
    </w:p>
    <w:p w:rsidR="00297F18" w:rsidP="00281FB4" w14:paraId="04575526" w14:textId="77777777">
      <w:pPr>
        <w:pStyle w:val="ListParagraph"/>
        <w:ind w:left="2160"/>
        <w:rPr>
          <w:szCs w:val="24"/>
        </w:rPr>
      </w:pPr>
    </w:p>
    <w:p w:rsidR="00297F18" w:rsidRPr="00297F18" w:rsidP="00297F18" w14:paraId="256A5139" w14:textId="77777777">
      <w:pPr>
        <w:ind w:left="720"/>
      </w:pPr>
      <w:r w:rsidRPr="00297F18">
        <w:rPr>
          <w:b/>
          <w:szCs w:val="24"/>
        </w:rPr>
        <w:t>IV.</w:t>
      </w:r>
      <w:r w:rsidRPr="00297F18">
        <w:rPr>
          <w:b/>
          <w:szCs w:val="24"/>
        </w:rPr>
        <w:tab/>
      </w:r>
      <w:r>
        <w:rPr>
          <w:b/>
          <w:bCs/>
        </w:rPr>
        <w:t>Recommendations</w:t>
      </w:r>
    </w:p>
    <w:p w:rsidR="00297F18" w:rsidRPr="00297F18" w:rsidP="00297F18" w14:paraId="7ABAB6F1" w14:textId="77777777">
      <w:pPr>
        <w:rPr>
          <w:szCs w:val="24"/>
        </w:rPr>
      </w:pPr>
    </w:p>
    <w:p w:rsidR="00FA6A3A" w:rsidP="00FA6A3A" w14:paraId="68094771" w14:textId="09144BB3">
      <w:pPr>
        <w:rPr>
          <w:szCs w:val="24"/>
        </w:rPr>
      </w:pPr>
      <w:r>
        <w:rPr>
          <w:szCs w:val="24"/>
        </w:rPr>
        <w:tab/>
        <w:t>Providers who wish to install video camera</w:t>
      </w:r>
      <w:r w:rsidR="00967D79">
        <w:rPr>
          <w:szCs w:val="24"/>
        </w:rPr>
        <w:t>s</w:t>
      </w:r>
      <w:r>
        <w:rPr>
          <w:szCs w:val="24"/>
        </w:rPr>
        <w:t xml:space="preserve"> in </w:t>
      </w:r>
      <w:r w:rsidR="00967D79">
        <w:rPr>
          <w:szCs w:val="24"/>
        </w:rPr>
        <w:t xml:space="preserve">facilities </w:t>
      </w:r>
      <w:r>
        <w:rPr>
          <w:szCs w:val="24"/>
        </w:rPr>
        <w:t xml:space="preserve">should ensure that they are only placed in common areas, that their placement is approved by the </w:t>
      </w:r>
      <w:r w:rsidR="0057651C">
        <w:rPr>
          <w:szCs w:val="24"/>
        </w:rPr>
        <w:t>HRC</w:t>
      </w:r>
      <w:r w:rsidR="0015791B">
        <w:rPr>
          <w:szCs w:val="24"/>
        </w:rPr>
        <w:t xml:space="preserve"> or other specially constituted committee in accordance with federal requirements</w:t>
      </w:r>
      <w:r>
        <w:rPr>
          <w:szCs w:val="24"/>
        </w:rPr>
        <w:t>, and that they have appropriate policies and procedures in place to address confidentiality</w:t>
      </w:r>
      <w:r w:rsidR="002B4441">
        <w:rPr>
          <w:szCs w:val="24"/>
        </w:rPr>
        <w:t>, release</w:t>
      </w:r>
      <w:r>
        <w:rPr>
          <w:szCs w:val="24"/>
        </w:rPr>
        <w:t xml:space="preserve"> and use of the video footage.  </w:t>
      </w:r>
      <w:r w:rsidR="00847FCB">
        <w:rPr>
          <w:szCs w:val="24"/>
        </w:rPr>
        <w:t>Additionally,</w:t>
      </w:r>
      <w:r>
        <w:rPr>
          <w:szCs w:val="24"/>
        </w:rPr>
        <w:t xml:space="preserve"> the location and use of cameras and recording devices should be disclosed to employees, and employees should sign an acknowledgement in order to ensure that they are aware of, and consent to the recording devices.  Further, notices should be posted in rooms where recording is taking place so that visitors and residents are aware of their use.</w:t>
      </w:r>
    </w:p>
    <w:p w:rsidR="00297F18" w:rsidP="00FA6A3A" w14:paraId="470698AF" w14:textId="77777777">
      <w:pPr>
        <w:rPr>
          <w:szCs w:val="24"/>
        </w:rPr>
      </w:pPr>
    </w:p>
    <w:p w:rsidR="00297F18" w:rsidP="00FA6A3A" w14:paraId="631C5B39" w14:textId="77777777">
      <w:pPr>
        <w:rPr>
          <w:szCs w:val="24"/>
        </w:rPr>
      </w:pPr>
      <w:r>
        <w:rPr>
          <w:szCs w:val="24"/>
        </w:rPr>
        <w:tab/>
      </w:r>
      <w:r w:rsidR="00967D79">
        <w:rPr>
          <w:szCs w:val="24"/>
        </w:rPr>
        <w:t xml:space="preserve">Providers </w:t>
      </w:r>
      <w:r>
        <w:rPr>
          <w:szCs w:val="24"/>
        </w:rPr>
        <w:t xml:space="preserve">should </w:t>
      </w:r>
      <w:r w:rsidR="00967D79">
        <w:rPr>
          <w:szCs w:val="24"/>
        </w:rPr>
        <w:t xml:space="preserve">also </w:t>
      </w:r>
      <w:r>
        <w:rPr>
          <w:szCs w:val="24"/>
        </w:rPr>
        <w:t>develop policies and procedures regarding the use of video cameras and other recording devices by residents and visitors.  These policies should delineate areas in the facility where recording may occur, and state that all occupants of a unit shared by multiple residents have consented to the recording.</w:t>
      </w:r>
    </w:p>
    <w:p w:rsidR="00297F18" w:rsidRPr="003A1E55" w:rsidP="00FA6A3A" w14:paraId="51E477E4" w14:textId="77777777">
      <w:pPr>
        <w:rPr>
          <w:szCs w:val="24"/>
        </w:rPr>
      </w:pPr>
    </w:p>
    <w:p w:rsidR="00DF3B3E" w:rsidRPr="003A1E55" w:rsidP="00D25C27" w14:paraId="44D84C08" w14:textId="77777777">
      <w:pPr>
        <w:ind w:firstLine="720"/>
        <w:rPr>
          <w:szCs w:val="24"/>
        </w:rPr>
      </w:pPr>
      <w:r w:rsidRPr="003A1E55">
        <w:rPr>
          <w:szCs w:val="24"/>
        </w:rPr>
        <w:t>Should you have any questions or need additional information or clarification</w:t>
      </w:r>
      <w:r w:rsidRPr="003A1E55" w:rsidR="003B066B">
        <w:rPr>
          <w:szCs w:val="24"/>
        </w:rPr>
        <w:t xml:space="preserve"> regarding these requirements</w:t>
      </w:r>
      <w:r w:rsidRPr="003A1E55">
        <w:rPr>
          <w:szCs w:val="24"/>
        </w:rPr>
        <w:t xml:space="preserve">, please feel free to contact </w:t>
      </w:r>
      <w:r w:rsidR="00297F18">
        <w:rPr>
          <w:szCs w:val="24"/>
        </w:rPr>
        <w:t>us</w:t>
      </w:r>
      <w:r w:rsidRPr="003A1E55">
        <w:rPr>
          <w:szCs w:val="24"/>
        </w:rPr>
        <w:t xml:space="preserve">.  </w:t>
      </w:r>
    </w:p>
    <w:sectPr w:rsidSect="006B27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36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orys Logo">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268A" w14:paraId="2F5DAD6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268A" w14:paraId="1B6C341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268A" w14:paraId="0B7F467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07F6E" w14:paraId="3092C823" w14:textId="77777777">
      <w:r>
        <w:separator/>
      </w:r>
    </w:p>
  </w:footnote>
  <w:footnote w:type="continuationSeparator" w:id="1">
    <w:p w:rsidR="00D07F6E" w14:paraId="55466622" w14:textId="77777777">
      <w:r>
        <w:continuationSeparator/>
      </w:r>
    </w:p>
  </w:footnote>
  <w:footnote w:id="2">
    <w:p w:rsidR="005565AC" w14:paraId="0CCD789E" w14:textId="77777777">
      <w:pPr>
        <w:pStyle w:val="FootnoteText"/>
      </w:pPr>
      <w:r>
        <w:rPr>
          <w:rStyle w:val="FootnoteReference"/>
        </w:rPr>
        <w:footnoteRef/>
      </w:r>
      <w:r>
        <w:t xml:space="preserve"> </w:t>
      </w:r>
      <w:r w:rsidRPr="001F5E81" w:rsidR="001F5E81">
        <w:rPr>
          <w:smallCaps/>
        </w:rPr>
        <w:t>Centers for Medicare &amp; Medicaid Services</w:t>
      </w:r>
      <w:r w:rsidR="001F5E81">
        <w:t xml:space="preserve">, </w:t>
      </w:r>
      <w:r w:rsidRPr="001F5E81" w:rsidR="001F5E81">
        <w:rPr>
          <w:i/>
        </w:rPr>
        <w:t>The Use of Video Cameras in Common Areas in Intermediate Care Facilities for the Mentally Retarded (ICFs/MR), Survey &amp; Certification Memo 11-34-ICF/MR</w:t>
      </w:r>
      <w:r w:rsidR="001F5E81">
        <w:t xml:space="preserve">, Jul. 29, 2011. </w:t>
      </w:r>
    </w:p>
  </w:footnote>
  <w:footnote w:id="3">
    <w:p w:rsidR="00BA64BB" w:rsidP="00BA64BB" w14:paraId="32D1DB36" w14:textId="4150FA21">
      <w:pPr>
        <w:pStyle w:val="FootnoteText"/>
      </w:pPr>
      <w:r>
        <w:rPr>
          <w:rStyle w:val="FootnoteReference"/>
        </w:rPr>
        <w:footnoteRef/>
      </w:r>
      <w:r w:rsidR="00C07745">
        <w:t xml:space="preserve"> As defined in federal law, this committee</w:t>
      </w:r>
      <w:r>
        <w:t xml:space="preserve"> must consist of the following: facility staff, parents, legal guardians, clients (as appropriate) qualified persons who have either experience or training in contemporary practices to change inappropriate client behavior and persons with no ownership interest in the facility to (i) review, approve, and monitor individual programs designed to manage inappropriate behavior and other programs that in the opinion of the committee involve risks to client protection and rights; (ii) insure that these programs are conducted only with written informed consent of the client, parent (if the client is a minor), or legal guardian; and (iii) review, monitor and make suggestions to the facility about its practices and programs as they relate to drug usage, physical restraints, time-out rooms, application of painful or noxious stimuli, control of inappropriate behavior, protection of client rights and funds, and any other area that the committee believes needs to be addressed.  </w:t>
      </w:r>
      <w:r w:rsidRPr="00BA64BB">
        <w:t>42 C.F.R. § 483.440</w:t>
      </w:r>
      <w:r>
        <w:t>(f)(3).</w:t>
      </w:r>
    </w:p>
  </w:footnote>
  <w:footnote w:id="4">
    <w:p w:rsidR="00C07745" w14:paraId="10C8DBE1" w14:textId="57066084">
      <w:pPr>
        <w:pStyle w:val="FootnoteText"/>
      </w:pPr>
      <w:r>
        <w:rPr>
          <w:rStyle w:val="FootnoteReference"/>
        </w:rPr>
        <w:footnoteRef/>
      </w:r>
      <w:r>
        <w:t xml:space="preserve"> See State Operations Manual, Appendix J – Guidance to Surveyors: Intermediate Care Facilities for Individuals with Intellectual Disabilities (Rev. 178, Apr. 13, 2018). </w:t>
      </w:r>
    </w:p>
  </w:footnote>
  <w:footnote w:id="5">
    <w:p w:rsidR="00C07745" w14:paraId="2CE37C97" w14:textId="5DB4F6E1">
      <w:pPr>
        <w:pStyle w:val="FootnoteText"/>
      </w:pPr>
      <w:r>
        <w:rPr>
          <w:rStyle w:val="FootnoteReference"/>
        </w:rPr>
        <w:footnoteRef/>
      </w:r>
      <w:r>
        <w:t xml:space="preserve"> This committee would still need to contain the required membership and participate reg</w:t>
      </w:r>
      <w:r w:rsidR="00084302">
        <w:t>ularly and perform the function</w:t>
      </w:r>
      <w:r>
        <w:t xml:space="preserve">s of the committee according to the requirements.  Id.  </w:t>
      </w:r>
    </w:p>
  </w:footnote>
  <w:footnote w:id="6">
    <w:p w:rsidR="0041605A" w14:paraId="4198F13B" w14:textId="77777777">
      <w:pPr>
        <w:pStyle w:val="FootnoteText"/>
      </w:pPr>
      <w:r>
        <w:rPr>
          <w:rStyle w:val="FootnoteReference"/>
        </w:rPr>
        <w:footnoteRef/>
      </w:r>
      <w:r>
        <w:t xml:space="preserve"> </w:t>
      </w:r>
      <w:r w:rsidR="00015C0D">
        <w:t>I</w:t>
      </w:r>
      <w:r>
        <w:t xml:space="preserve">f a facility consists of physically separate living units, video cameras may be installed in the units of consenting residents even if residents in other units have not given consent.  However, the facility should still inform all residents (and their guardians, if applicable) that cameras are in use in the specific unit where </w:t>
      </w:r>
      <w:r w:rsidR="00C57765">
        <w:t xml:space="preserve">residents have given consent. </w:t>
      </w:r>
    </w:p>
  </w:footnote>
  <w:footnote w:id="7">
    <w:p w:rsidR="00967D79" w:rsidP="00967D79" w14:paraId="236B483D" w14:textId="77777777">
      <w:pPr>
        <w:pStyle w:val="FootnoteText"/>
      </w:pPr>
      <w:r>
        <w:rPr>
          <w:rStyle w:val="FootnoteReference"/>
        </w:rPr>
        <w:footnoteRef/>
      </w:r>
      <w:r>
        <w:t xml:space="preserve"> </w:t>
      </w:r>
      <w:r w:rsidRPr="003A1E55">
        <w:rPr>
          <w:szCs w:val="24"/>
        </w:rPr>
        <w:t xml:space="preserve">See </w:t>
      </w:r>
      <w:r w:rsidRPr="003A1E55">
        <w:rPr>
          <w:szCs w:val="24"/>
          <w:shd w:val="clear" w:color="auto" w:fill="FFFFFF"/>
        </w:rPr>
        <w:t>18 U.S.C. 2511(2)(d); O.R.C. § 2933.52.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268A" w14:paraId="768F36F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6A6A" w:rsidP="00C36A6A" w14:paraId="5BD066BC" w14:textId="77777777">
    <w:pPr>
      <w:pStyle w:val="Header"/>
      <w:rPr>
        <w:rStyle w:val="HeaderFooter"/>
        <w:rFonts w:ascii="Vorys Logo" w:hAnsi="Vorys Logo"/>
        <w:sz w:val="44"/>
        <w:szCs w:val="44"/>
      </w:rPr>
    </w:pPr>
    <w:r>
      <w:rPr>
        <w:rStyle w:val="HeaderFooter"/>
        <w:rFonts w:ascii="Vorys Logo" w:hAnsi="Vorys Logo"/>
        <w:sz w:val="44"/>
        <w:szCs w:val="44"/>
      </w:rPr>
      <w:t>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8"/>
    </w:tblGrid>
    <w:tr w14:paraId="2040810C" w14:textId="77777777" w:rsidTr="00D07F6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287"/>
      </w:trPr>
      <w:tc>
        <w:tcPr>
          <w:tcW w:w="2088" w:type="dxa"/>
        </w:tcPr>
        <w:p w:rsidR="00C36A6A" w:rsidRPr="009F287D" w:rsidP="00D07F6E" w14:paraId="650231E1" w14:textId="77777777">
          <w:pPr>
            <w:pStyle w:val="Header"/>
            <w:jc w:val="right"/>
            <w:rPr>
              <w:rStyle w:val="HeaderFooter"/>
            </w:rPr>
          </w:pPr>
          <w:r>
            <w:rPr>
              <w:rStyle w:val="HeaderFooter"/>
            </w:rPr>
            <w:t>Legal Counsel</w:t>
          </w:r>
        </w:p>
      </w:tc>
    </w:tr>
    <w:tr w14:paraId="492458C8" w14:textId="77777777" w:rsidTr="00D07F6E">
      <w:tblPrEx>
        <w:tblW w:w="0" w:type="auto"/>
        <w:tblLook w:val="01E0"/>
      </w:tblPrEx>
      <w:trPr>
        <w:trHeight w:val="287"/>
      </w:trPr>
      <w:tc>
        <w:tcPr>
          <w:tcW w:w="2088" w:type="dxa"/>
        </w:tcPr>
        <w:p w:rsidR="00C36A6A" w:rsidP="00D07F6E" w14:paraId="65A369F2" w14:textId="77777777">
          <w:pPr>
            <w:pStyle w:val="Header"/>
            <w:jc w:val="right"/>
            <w:rPr>
              <w:rFonts w:ascii="Century Schoolbook" w:hAnsi="Century Schoolbook"/>
              <w:b/>
              <w:sz w:val="16"/>
              <w:szCs w:val="16"/>
            </w:rPr>
          </w:pPr>
        </w:p>
      </w:tc>
    </w:tr>
  </w:tbl>
  <w:p w:rsidR="00C36A6A" w14:paraId="126ED1C4" w14:textId="703B19CE">
    <w:pPr>
      <w:pStyle w:val="Header"/>
    </w:pPr>
    <w:bookmarkStart w:id="5" w:name="SecondHeaderPlaceholder"/>
    <w:bookmarkEnd w:id="5"/>
    <w:r>
      <w:fldChar w:fldCharType="begin"/>
    </w:r>
    <w:r w:rsidR="00C62BA5">
      <w:instrText xml:space="preserve"> REF  To </w:instrText>
    </w:r>
    <w:r>
      <w:fldChar w:fldCharType="separate"/>
    </w:r>
    <w:r w:rsidRPr="003A1E55" w:rsidR="007C5514">
      <w:rPr>
        <w:szCs w:val="24"/>
      </w:rPr>
      <w:t>Ohio Provider Resource Association</w:t>
    </w:r>
    <w:r>
      <w:fldChar w:fldCharType="end"/>
    </w:r>
  </w:p>
  <w:p w:rsidR="009948A5" w14:paraId="40720F44" w14:textId="251D8F8D">
    <w:pPr>
      <w:pStyle w:val="Header"/>
    </w:pPr>
    <w:r>
      <w:fldChar w:fldCharType="begin"/>
    </w:r>
    <w:r>
      <w:instrText xml:space="preserve"> STYLEREF Date \* MERGEFORMAT </w:instrText>
    </w:r>
    <w:r>
      <w:fldChar w:fldCharType="separate"/>
    </w:r>
    <w:r w:rsidR="00C7268A">
      <w:rPr>
        <w:noProof/>
      </w:rPr>
      <w:t>May 22, 2019</w:t>
    </w:r>
    <w:r>
      <w:fldChar w:fldCharType="end"/>
    </w:r>
  </w:p>
  <w:p w:rsidR="009948A5" w14:paraId="72C06CFB" w14:textId="290FF1E2">
    <w:pPr>
      <w:pStyle w:val="Header"/>
      <w:rPr>
        <w:rStyle w:val="PageNumber"/>
      </w:rPr>
    </w:pPr>
    <w:r>
      <w:t xml:space="preserve">Page </w:t>
    </w:r>
    <w:r w:rsidR="00D52AE2">
      <w:rPr>
        <w:rStyle w:val="PageNumber"/>
      </w:rPr>
      <w:fldChar w:fldCharType="begin"/>
    </w:r>
    <w:r>
      <w:rPr>
        <w:rStyle w:val="PageNumber"/>
      </w:rPr>
      <w:instrText xml:space="preserve"> PAGE </w:instrText>
    </w:r>
    <w:r w:rsidR="00D52AE2">
      <w:rPr>
        <w:rStyle w:val="PageNumber"/>
      </w:rPr>
      <w:fldChar w:fldCharType="separate"/>
    </w:r>
    <w:r w:rsidR="00C7268A">
      <w:rPr>
        <w:rStyle w:val="PageNumber"/>
        <w:noProof/>
      </w:rPr>
      <w:t>2</w:t>
    </w:r>
    <w:r w:rsidR="00D52AE2">
      <w:rPr>
        <w:rStyle w:val="PageNumber"/>
      </w:rPr>
      <w:fldChar w:fldCharType="end"/>
    </w:r>
  </w:p>
  <w:p w:rsidR="009948A5" w14:paraId="5B21CBBF" w14:textId="77777777">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pPr w:leftFromText="180" w:rightFromText="180" w:vertAnchor="text" w:horzAnchor="margin" w:tblpX="-699" w:tblpY="1"/>
      <w:tblOverlap w:val="never"/>
      <w:tblW w:w="10642" w:type="dxa"/>
      <w:tblLayout w:type="fixed"/>
      <w:tblLook w:val="0000"/>
    </w:tblPr>
    <w:tblGrid>
      <w:gridCol w:w="5321"/>
      <w:gridCol w:w="5321"/>
    </w:tblGrid>
    <w:tr w14:paraId="2EDC1974" w14:textId="77777777" w:rsidTr="009F287D">
      <w:tblPrEx>
        <w:tblW w:w="10642" w:type="dxa"/>
        <w:tblLayout w:type="fixed"/>
        <w:tblLook w:val="0000"/>
      </w:tblPrEx>
      <w:trPr>
        <w:trHeight w:val="1800"/>
      </w:trPr>
      <w:tc>
        <w:tcPr>
          <w:tcW w:w="5321" w:type="dxa"/>
        </w:tcPr>
        <w:p w:rsidR="009F287D" w:rsidRPr="009F287D" w:rsidP="009F287D" w14:paraId="1AB6EA60" w14:textId="77777777">
          <w:pPr>
            <w:pStyle w:val="Header"/>
            <w:rPr>
              <w:rStyle w:val="HeaderFooter"/>
              <w:rFonts w:ascii="Vorys Logo" w:hAnsi="Vorys Logo"/>
              <w:color w:val="17365D" w:themeColor="text2" w:themeShade="BF"/>
              <w:sz w:val="72"/>
            </w:rPr>
          </w:pPr>
          <w:r w:rsidRPr="009F287D">
            <w:rPr>
              <w:rStyle w:val="HeaderFooter"/>
              <w:rFonts w:ascii="Vorys Logo" w:hAnsi="Vorys Logo"/>
              <w:color w:val="17365D" w:themeColor="text2" w:themeShade="BF"/>
              <w:sz w:val="72"/>
            </w:rPr>
            <w:t>v</w:t>
          </w:r>
        </w:p>
        <w:p w:rsidR="009F287D" w:rsidRPr="009F287D" w:rsidP="009F287D" w14:paraId="764A3785" w14:textId="77777777">
          <w:pPr>
            <w:pStyle w:val="Header"/>
            <w:rPr>
              <w:rStyle w:val="HeaderFooter"/>
              <w:color w:val="17365D" w:themeColor="text2" w:themeShade="BF"/>
              <w:sz w:val="19"/>
            </w:rPr>
          </w:pPr>
          <w:r w:rsidRPr="009F287D">
            <w:rPr>
              <w:rStyle w:val="HeaderFooter"/>
              <w:color w:val="17365D" w:themeColor="text2" w:themeShade="BF"/>
              <w:sz w:val="19"/>
            </w:rPr>
            <w:t>Vorys, Sater, Seymour and Pease LLP</w:t>
          </w:r>
        </w:p>
        <w:p w:rsidR="009F287D" w:rsidP="009F287D" w14:paraId="1840D092" w14:textId="77777777">
          <w:pPr>
            <w:pStyle w:val="Header"/>
            <w:rPr>
              <w:rFonts w:ascii="Century Schoolbook" w:hAnsi="Century Schoolbook"/>
            </w:rPr>
          </w:pPr>
          <w:r w:rsidRPr="009F287D">
            <w:rPr>
              <w:rStyle w:val="HeaderFooter"/>
              <w:color w:val="17365D" w:themeColor="text2" w:themeShade="BF"/>
            </w:rPr>
            <w:t>Legal Counsel</w:t>
          </w:r>
        </w:p>
      </w:tc>
      <w:tc>
        <w:tcPr>
          <w:tcW w:w="5321" w:type="dxa"/>
        </w:tcPr>
        <w:p w:rsidR="009F287D" w:rsidRPr="009F287D" w:rsidP="009F287D" w14:paraId="098E3035" w14:textId="77777777">
          <w:pPr>
            <w:pStyle w:val="Header"/>
            <w:jc w:val="right"/>
            <w:rPr>
              <w:rStyle w:val="HeaderFooterOfficeInfo"/>
              <w:color w:val="17365D" w:themeColor="text2" w:themeShade="BF"/>
            </w:rPr>
          </w:pPr>
        </w:p>
      </w:tc>
    </w:tr>
  </w:tbl>
  <w:p w:rsidR="009948A5" w:rsidRPr="00C67A33" w:rsidP="006C5653" w14:paraId="4CC93375" w14:textId="77777777">
    <w:pPr>
      <w:pStyle w:val="Header"/>
      <w:rPr>
        <w:rFonts w:ascii="Century Schoolbook" w:hAnsi="Century Schoolboo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B60FF5"/>
    <w:multiLevelType w:val="hybridMultilevel"/>
    <w:tmpl w:val="600ACE8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D09259D"/>
    <w:multiLevelType w:val="hybridMultilevel"/>
    <w:tmpl w:val="9DB6DCD0"/>
    <w:lvl w:ilvl="0">
      <w:start w:val="1"/>
      <w:numFmt w:val="upp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
    <w:nsid w:val="24FA3EF5"/>
    <w:multiLevelType w:val="hybridMultilevel"/>
    <w:tmpl w:val="E9924602"/>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3F206ED8"/>
    <w:multiLevelType w:val="hybridMultilevel"/>
    <w:tmpl w:val="9EE6674E"/>
    <w:lvl w:ilvl="0">
      <w:start w:val="1"/>
      <w:numFmt w:val="lowerLetter"/>
      <w:lvlText w:val="%1."/>
      <w:lvlJc w:val="left"/>
      <w:pPr>
        <w:ind w:left="2160" w:hanging="720"/>
      </w:pPr>
      <w:rPr>
        <w:rFonts w:ascii="Times New Roman" w:eastAsia="Times New Roman" w:hAnsi="Times New Roman" w:cs="Times New Roman"/>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427D7450"/>
    <w:multiLevelType w:val="hybridMultilevel"/>
    <w:tmpl w:val="9A16B4D4"/>
    <w:lvl w:ilvl="0">
      <w:start w:val="1"/>
      <w:numFmt w:val="upperRoman"/>
      <w:lvlText w:val="%1."/>
      <w:lvlJc w:val="left"/>
      <w:pPr>
        <w:ind w:left="1440" w:hanging="72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6C1F3F0E"/>
    <w:multiLevelType w:val="hybridMultilevel"/>
    <w:tmpl w:val="98321B6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noPunctuationKerning/>
  <w:characterSpacingControl w:val="doNotCompress"/>
  <w:footnotePr>
    <w:footnote w:id="0"/>
    <w:footnote w:id="1"/>
  </w:foot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87D"/>
    <w:rsid w:val="00007656"/>
    <w:rsid w:val="0001288A"/>
    <w:rsid w:val="00015C0D"/>
    <w:rsid w:val="00015DAD"/>
    <w:rsid w:val="00017625"/>
    <w:rsid w:val="000212BE"/>
    <w:rsid w:val="00023954"/>
    <w:rsid w:val="00023F98"/>
    <w:rsid w:val="00027C34"/>
    <w:rsid w:val="00053EFF"/>
    <w:rsid w:val="00054AE6"/>
    <w:rsid w:val="00054E0C"/>
    <w:rsid w:val="00067CDD"/>
    <w:rsid w:val="00076020"/>
    <w:rsid w:val="00084302"/>
    <w:rsid w:val="000857E3"/>
    <w:rsid w:val="000B0178"/>
    <w:rsid w:val="000B3B17"/>
    <w:rsid w:val="000C14E7"/>
    <w:rsid w:val="000D3DEB"/>
    <w:rsid w:val="000D72D1"/>
    <w:rsid w:val="000E1173"/>
    <w:rsid w:val="000E1361"/>
    <w:rsid w:val="000E6C70"/>
    <w:rsid w:val="000F42CE"/>
    <w:rsid w:val="00101390"/>
    <w:rsid w:val="00106E4F"/>
    <w:rsid w:val="00111A91"/>
    <w:rsid w:val="001143CC"/>
    <w:rsid w:val="00114978"/>
    <w:rsid w:val="00120FA7"/>
    <w:rsid w:val="00121D2D"/>
    <w:rsid w:val="001225C7"/>
    <w:rsid w:val="00131FDD"/>
    <w:rsid w:val="00132E05"/>
    <w:rsid w:val="00133F91"/>
    <w:rsid w:val="0014121C"/>
    <w:rsid w:val="00142A75"/>
    <w:rsid w:val="0015791B"/>
    <w:rsid w:val="0016217B"/>
    <w:rsid w:val="00166A2A"/>
    <w:rsid w:val="001A067C"/>
    <w:rsid w:val="001A09DE"/>
    <w:rsid w:val="001B7C5E"/>
    <w:rsid w:val="001D5BE2"/>
    <w:rsid w:val="001D6506"/>
    <w:rsid w:val="001E6EDB"/>
    <w:rsid w:val="001E7BA6"/>
    <w:rsid w:val="001F5E81"/>
    <w:rsid w:val="002049CE"/>
    <w:rsid w:val="00204FC8"/>
    <w:rsid w:val="00205E83"/>
    <w:rsid w:val="00222DD2"/>
    <w:rsid w:val="00225D61"/>
    <w:rsid w:val="00234938"/>
    <w:rsid w:val="00236A67"/>
    <w:rsid w:val="00242DAD"/>
    <w:rsid w:val="00262A69"/>
    <w:rsid w:val="002642BB"/>
    <w:rsid w:val="00265A88"/>
    <w:rsid w:val="00271BB7"/>
    <w:rsid w:val="00281FB4"/>
    <w:rsid w:val="00282707"/>
    <w:rsid w:val="00290559"/>
    <w:rsid w:val="00294379"/>
    <w:rsid w:val="0029466C"/>
    <w:rsid w:val="002949F9"/>
    <w:rsid w:val="00297F18"/>
    <w:rsid w:val="002A041B"/>
    <w:rsid w:val="002A2FF9"/>
    <w:rsid w:val="002A6D9A"/>
    <w:rsid w:val="002B4441"/>
    <w:rsid w:val="002C4F1F"/>
    <w:rsid w:val="002C5682"/>
    <w:rsid w:val="002C713F"/>
    <w:rsid w:val="002D1B3A"/>
    <w:rsid w:val="002E6EA1"/>
    <w:rsid w:val="002F4058"/>
    <w:rsid w:val="003102C2"/>
    <w:rsid w:val="003451F2"/>
    <w:rsid w:val="0034586F"/>
    <w:rsid w:val="00350497"/>
    <w:rsid w:val="00351EDE"/>
    <w:rsid w:val="00352959"/>
    <w:rsid w:val="00352BD2"/>
    <w:rsid w:val="00355ED4"/>
    <w:rsid w:val="00367336"/>
    <w:rsid w:val="00372BE7"/>
    <w:rsid w:val="003730BD"/>
    <w:rsid w:val="00374AD7"/>
    <w:rsid w:val="00384D6F"/>
    <w:rsid w:val="00393A11"/>
    <w:rsid w:val="00393BCF"/>
    <w:rsid w:val="00393E2D"/>
    <w:rsid w:val="00395CD0"/>
    <w:rsid w:val="003A1E55"/>
    <w:rsid w:val="003A2564"/>
    <w:rsid w:val="003A6E56"/>
    <w:rsid w:val="003B066B"/>
    <w:rsid w:val="003B217E"/>
    <w:rsid w:val="003E300E"/>
    <w:rsid w:val="003E4319"/>
    <w:rsid w:val="003F0504"/>
    <w:rsid w:val="004028B2"/>
    <w:rsid w:val="00411793"/>
    <w:rsid w:val="0041605A"/>
    <w:rsid w:val="00420155"/>
    <w:rsid w:val="0042583E"/>
    <w:rsid w:val="00432DE6"/>
    <w:rsid w:val="00434666"/>
    <w:rsid w:val="0045085D"/>
    <w:rsid w:val="004524CB"/>
    <w:rsid w:val="004546A5"/>
    <w:rsid w:val="00464E3B"/>
    <w:rsid w:val="00476DBE"/>
    <w:rsid w:val="004A4D3F"/>
    <w:rsid w:val="004A7F6B"/>
    <w:rsid w:val="004B28A5"/>
    <w:rsid w:val="004C5466"/>
    <w:rsid w:val="004D0F45"/>
    <w:rsid w:val="004E7C00"/>
    <w:rsid w:val="004F4D20"/>
    <w:rsid w:val="004F7C1D"/>
    <w:rsid w:val="00501283"/>
    <w:rsid w:val="005018EF"/>
    <w:rsid w:val="0051718D"/>
    <w:rsid w:val="005238D6"/>
    <w:rsid w:val="00531F63"/>
    <w:rsid w:val="005350A5"/>
    <w:rsid w:val="00540030"/>
    <w:rsid w:val="00546DDC"/>
    <w:rsid w:val="005565AC"/>
    <w:rsid w:val="0057097F"/>
    <w:rsid w:val="005748CA"/>
    <w:rsid w:val="0057651C"/>
    <w:rsid w:val="00581BEC"/>
    <w:rsid w:val="00583636"/>
    <w:rsid w:val="0059324E"/>
    <w:rsid w:val="005933F1"/>
    <w:rsid w:val="005A4315"/>
    <w:rsid w:val="005A61E3"/>
    <w:rsid w:val="005B2952"/>
    <w:rsid w:val="005B5A4C"/>
    <w:rsid w:val="005B7CE9"/>
    <w:rsid w:val="005C768F"/>
    <w:rsid w:val="005D784B"/>
    <w:rsid w:val="005E1043"/>
    <w:rsid w:val="005E4821"/>
    <w:rsid w:val="005E70FF"/>
    <w:rsid w:val="005F19B3"/>
    <w:rsid w:val="005F19B6"/>
    <w:rsid w:val="005F1E7A"/>
    <w:rsid w:val="00602E1D"/>
    <w:rsid w:val="00607666"/>
    <w:rsid w:val="00617FC1"/>
    <w:rsid w:val="00653975"/>
    <w:rsid w:val="00663D69"/>
    <w:rsid w:val="00670B5B"/>
    <w:rsid w:val="006842FD"/>
    <w:rsid w:val="00690F94"/>
    <w:rsid w:val="00692BA5"/>
    <w:rsid w:val="006A5499"/>
    <w:rsid w:val="006A70BA"/>
    <w:rsid w:val="006B27CC"/>
    <w:rsid w:val="006B5912"/>
    <w:rsid w:val="006C5653"/>
    <w:rsid w:val="006C6128"/>
    <w:rsid w:val="006E03E2"/>
    <w:rsid w:val="006F1D63"/>
    <w:rsid w:val="006F57F7"/>
    <w:rsid w:val="006F643C"/>
    <w:rsid w:val="00700B04"/>
    <w:rsid w:val="00707A29"/>
    <w:rsid w:val="00712E11"/>
    <w:rsid w:val="00713CCA"/>
    <w:rsid w:val="00713E9C"/>
    <w:rsid w:val="00716151"/>
    <w:rsid w:val="007242C7"/>
    <w:rsid w:val="00725D3C"/>
    <w:rsid w:val="00734962"/>
    <w:rsid w:val="007367DE"/>
    <w:rsid w:val="00742600"/>
    <w:rsid w:val="00755C20"/>
    <w:rsid w:val="00761895"/>
    <w:rsid w:val="00782405"/>
    <w:rsid w:val="00782AD3"/>
    <w:rsid w:val="007A0F71"/>
    <w:rsid w:val="007A4539"/>
    <w:rsid w:val="007A6B53"/>
    <w:rsid w:val="007B0D3C"/>
    <w:rsid w:val="007C5514"/>
    <w:rsid w:val="007D102F"/>
    <w:rsid w:val="007D19FD"/>
    <w:rsid w:val="007E46E9"/>
    <w:rsid w:val="007F2866"/>
    <w:rsid w:val="007F5F97"/>
    <w:rsid w:val="00801E8B"/>
    <w:rsid w:val="008021FA"/>
    <w:rsid w:val="008117DE"/>
    <w:rsid w:val="00815182"/>
    <w:rsid w:val="00815239"/>
    <w:rsid w:val="00820FE5"/>
    <w:rsid w:val="008224BB"/>
    <w:rsid w:val="00836EFA"/>
    <w:rsid w:val="0084509D"/>
    <w:rsid w:val="00847FCB"/>
    <w:rsid w:val="00854ACC"/>
    <w:rsid w:val="008668B0"/>
    <w:rsid w:val="00866A7A"/>
    <w:rsid w:val="008770B8"/>
    <w:rsid w:val="0088071D"/>
    <w:rsid w:val="008853E4"/>
    <w:rsid w:val="00891E11"/>
    <w:rsid w:val="008A29D4"/>
    <w:rsid w:val="008B5383"/>
    <w:rsid w:val="008B5391"/>
    <w:rsid w:val="008C0813"/>
    <w:rsid w:val="008C4D79"/>
    <w:rsid w:val="008D0DA5"/>
    <w:rsid w:val="008D556D"/>
    <w:rsid w:val="008D6637"/>
    <w:rsid w:val="008D786F"/>
    <w:rsid w:val="008D7B2B"/>
    <w:rsid w:val="00913464"/>
    <w:rsid w:val="00914EF9"/>
    <w:rsid w:val="0092345C"/>
    <w:rsid w:val="0092469F"/>
    <w:rsid w:val="00930CD4"/>
    <w:rsid w:val="00933138"/>
    <w:rsid w:val="009336AA"/>
    <w:rsid w:val="00935343"/>
    <w:rsid w:val="00946261"/>
    <w:rsid w:val="00957550"/>
    <w:rsid w:val="00960268"/>
    <w:rsid w:val="00960CEA"/>
    <w:rsid w:val="00962F23"/>
    <w:rsid w:val="00966CC7"/>
    <w:rsid w:val="00967D79"/>
    <w:rsid w:val="00974DC8"/>
    <w:rsid w:val="00982982"/>
    <w:rsid w:val="00987567"/>
    <w:rsid w:val="009948A5"/>
    <w:rsid w:val="0099710B"/>
    <w:rsid w:val="009B191E"/>
    <w:rsid w:val="009B7A43"/>
    <w:rsid w:val="009C79BE"/>
    <w:rsid w:val="009D4E09"/>
    <w:rsid w:val="009D684C"/>
    <w:rsid w:val="009D7D29"/>
    <w:rsid w:val="009F1635"/>
    <w:rsid w:val="009F287D"/>
    <w:rsid w:val="009F538E"/>
    <w:rsid w:val="00A00172"/>
    <w:rsid w:val="00A053CA"/>
    <w:rsid w:val="00A104D4"/>
    <w:rsid w:val="00A14934"/>
    <w:rsid w:val="00A23CC2"/>
    <w:rsid w:val="00A521F5"/>
    <w:rsid w:val="00A54A1C"/>
    <w:rsid w:val="00A64494"/>
    <w:rsid w:val="00A76648"/>
    <w:rsid w:val="00A83485"/>
    <w:rsid w:val="00A83F48"/>
    <w:rsid w:val="00A869E9"/>
    <w:rsid w:val="00A97713"/>
    <w:rsid w:val="00AA5AA5"/>
    <w:rsid w:val="00AA6AA6"/>
    <w:rsid w:val="00AA7F88"/>
    <w:rsid w:val="00AB181F"/>
    <w:rsid w:val="00AC4BE2"/>
    <w:rsid w:val="00AC7170"/>
    <w:rsid w:val="00AD654F"/>
    <w:rsid w:val="00AE0A0A"/>
    <w:rsid w:val="00AE49F7"/>
    <w:rsid w:val="00AF7CA0"/>
    <w:rsid w:val="00B00126"/>
    <w:rsid w:val="00B11092"/>
    <w:rsid w:val="00B115D7"/>
    <w:rsid w:val="00B1703B"/>
    <w:rsid w:val="00B25E02"/>
    <w:rsid w:val="00B3148D"/>
    <w:rsid w:val="00B34550"/>
    <w:rsid w:val="00B4234D"/>
    <w:rsid w:val="00B6225B"/>
    <w:rsid w:val="00B63A43"/>
    <w:rsid w:val="00B63D32"/>
    <w:rsid w:val="00B65838"/>
    <w:rsid w:val="00B7329D"/>
    <w:rsid w:val="00B90EF6"/>
    <w:rsid w:val="00B91261"/>
    <w:rsid w:val="00B96900"/>
    <w:rsid w:val="00BA64BB"/>
    <w:rsid w:val="00BD140D"/>
    <w:rsid w:val="00BD3D10"/>
    <w:rsid w:val="00BD40F5"/>
    <w:rsid w:val="00BD4580"/>
    <w:rsid w:val="00BD73C6"/>
    <w:rsid w:val="00BD73CB"/>
    <w:rsid w:val="00BE4693"/>
    <w:rsid w:val="00BF19B3"/>
    <w:rsid w:val="00C05EF1"/>
    <w:rsid w:val="00C07745"/>
    <w:rsid w:val="00C07E84"/>
    <w:rsid w:val="00C100D6"/>
    <w:rsid w:val="00C20D23"/>
    <w:rsid w:val="00C33ED5"/>
    <w:rsid w:val="00C340F5"/>
    <w:rsid w:val="00C36A6A"/>
    <w:rsid w:val="00C57765"/>
    <w:rsid w:val="00C60CBF"/>
    <w:rsid w:val="00C62BA5"/>
    <w:rsid w:val="00C67A33"/>
    <w:rsid w:val="00C67F73"/>
    <w:rsid w:val="00C714B3"/>
    <w:rsid w:val="00C71641"/>
    <w:rsid w:val="00C7268A"/>
    <w:rsid w:val="00C72EAE"/>
    <w:rsid w:val="00C75C59"/>
    <w:rsid w:val="00C82368"/>
    <w:rsid w:val="00C90600"/>
    <w:rsid w:val="00CA27D4"/>
    <w:rsid w:val="00CA2983"/>
    <w:rsid w:val="00CA6A02"/>
    <w:rsid w:val="00CB524A"/>
    <w:rsid w:val="00CC172C"/>
    <w:rsid w:val="00CC3A09"/>
    <w:rsid w:val="00CD1964"/>
    <w:rsid w:val="00CD6A1A"/>
    <w:rsid w:val="00CE2D83"/>
    <w:rsid w:val="00CE587B"/>
    <w:rsid w:val="00CF6068"/>
    <w:rsid w:val="00D07505"/>
    <w:rsid w:val="00D07F6E"/>
    <w:rsid w:val="00D16ACE"/>
    <w:rsid w:val="00D20696"/>
    <w:rsid w:val="00D21BED"/>
    <w:rsid w:val="00D25C27"/>
    <w:rsid w:val="00D27895"/>
    <w:rsid w:val="00D37B60"/>
    <w:rsid w:val="00D44A3F"/>
    <w:rsid w:val="00D5045A"/>
    <w:rsid w:val="00D52AE2"/>
    <w:rsid w:val="00D57D32"/>
    <w:rsid w:val="00D6237A"/>
    <w:rsid w:val="00D675A9"/>
    <w:rsid w:val="00D67769"/>
    <w:rsid w:val="00D733CF"/>
    <w:rsid w:val="00D75844"/>
    <w:rsid w:val="00D91DA8"/>
    <w:rsid w:val="00D97702"/>
    <w:rsid w:val="00DA20BD"/>
    <w:rsid w:val="00DA78B5"/>
    <w:rsid w:val="00DB15EF"/>
    <w:rsid w:val="00DB2FA0"/>
    <w:rsid w:val="00DB7991"/>
    <w:rsid w:val="00DC08E9"/>
    <w:rsid w:val="00DC4EBF"/>
    <w:rsid w:val="00DE4CE9"/>
    <w:rsid w:val="00DF3B3E"/>
    <w:rsid w:val="00DF798B"/>
    <w:rsid w:val="00E03CBD"/>
    <w:rsid w:val="00E10C76"/>
    <w:rsid w:val="00E15A91"/>
    <w:rsid w:val="00E24265"/>
    <w:rsid w:val="00E57374"/>
    <w:rsid w:val="00E64F04"/>
    <w:rsid w:val="00E67303"/>
    <w:rsid w:val="00E75580"/>
    <w:rsid w:val="00E93F26"/>
    <w:rsid w:val="00E96548"/>
    <w:rsid w:val="00EB2F39"/>
    <w:rsid w:val="00EB48EC"/>
    <w:rsid w:val="00EC151A"/>
    <w:rsid w:val="00EC5B81"/>
    <w:rsid w:val="00ED0459"/>
    <w:rsid w:val="00ED48D6"/>
    <w:rsid w:val="00ED7E33"/>
    <w:rsid w:val="00EE68E2"/>
    <w:rsid w:val="00EF58B1"/>
    <w:rsid w:val="00F120C6"/>
    <w:rsid w:val="00F13F6E"/>
    <w:rsid w:val="00F26475"/>
    <w:rsid w:val="00F5155A"/>
    <w:rsid w:val="00F51855"/>
    <w:rsid w:val="00F637F8"/>
    <w:rsid w:val="00F644CB"/>
    <w:rsid w:val="00F7145C"/>
    <w:rsid w:val="00F766CF"/>
    <w:rsid w:val="00F82235"/>
    <w:rsid w:val="00F92B51"/>
    <w:rsid w:val="00FA6A3A"/>
    <w:rsid w:val="00FA7321"/>
    <w:rsid w:val="00FB2ACA"/>
    <w:rsid w:val="00FB3725"/>
    <w:rsid w:val="00FB6C04"/>
    <w:rsid w:val="00FC22D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72C"/>
    <w:rPr>
      <w:sz w:val="24"/>
    </w:rPr>
  </w:style>
  <w:style w:type="paragraph" w:styleId="Heading1">
    <w:name w:val="heading 1"/>
    <w:basedOn w:val="Normal"/>
    <w:next w:val="BodyText"/>
    <w:qFormat/>
    <w:rsid w:val="00CC172C"/>
    <w:pPr>
      <w:keepNext/>
      <w:spacing w:after="240"/>
      <w:outlineLvl w:val="0"/>
    </w:pPr>
    <w:rPr>
      <w:b/>
    </w:rPr>
  </w:style>
  <w:style w:type="paragraph" w:styleId="Heading2">
    <w:name w:val="heading 2"/>
    <w:basedOn w:val="Normal"/>
    <w:next w:val="Normal"/>
    <w:qFormat/>
    <w:rsid w:val="00CC172C"/>
    <w:pPr>
      <w:keepNext/>
      <w:spacing w:after="240"/>
      <w:outlineLvl w:val="1"/>
    </w:pPr>
    <w:rPr>
      <w:b/>
      <w:i/>
    </w:rPr>
  </w:style>
  <w:style w:type="paragraph" w:styleId="Heading3">
    <w:name w:val="heading 3"/>
    <w:basedOn w:val="Normal"/>
    <w:next w:val="BodyText"/>
    <w:qFormat/>
    <w:rsid w:val="00CC172C"/>
    <w:pPr>
      <w:keepNext/>
      <w:spacing w:after="240"/>
      <w:outlineLvl w:val="2"/>
    </w:pPr>
  </w:style>
  <w:style w:type="paragraph" w:styleId="Heading4">
    <w:name w:val="heading 4"/>
    <w:basedOn w:val="Normal"/>
    <w:next w:val="Normal"/>
    <w:qFormat/>
    <w:rsid w:val="00CC172C"/>
    <w:pPr>
      <w:keepNext/>
      <w:spacing w:after="24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C172C"/>
    <w:pPr>
      <w:spacing w:line="480" w:lineRule="auto"/>
      <w:ind w:firstLine="1440"/>
    </w:pPr>
  </w:style>
  <w:style w:type="paragraph" w:customStyle="1" w:styleId="HeadingText">
    <w:name w:val="Heading Text"/>
    <w:basedOn w:val="Normal"/>
    <w:rsid w:val="00CC172C"/>
    <w:rPr>
      <w:noProof/>
    </w:rPr>
  </w:style>
  <w:style w:type="paragraph" w:styleId="Date">
    <w:name w:val="Date"/>
    <w:basedOn w:val="HeadingText"/>
    <w:rsid w:val="00CC172C"/>
  </w:style>
  <w:style w:type="paragraph" w:styleId="EnvelopeAddress">
    <w:name w:val="envelope address"/>
    <w:basedOn w:val="Normal"/>
    <w:rsid w:val="00CC172C"/>
    <w:pPr>
      <w:framePr w:w="7920" w:h="1980" w:hRule="exact" w:hSpace="180" w:wrap="auto" w:hAnchor="page" w:xAlign="center" w:yAlign="bottom"/>
      <w:ind w:left="2880"/>
    </w:pPr>
  </w:style>
  <w:style w:type="paragraph" w:styleId="EnvelopeReturn">
    <w:name w:val="envelope return"/>
    <w:basedOn w:val="Normal"/>
    <w:rsid w:val="00CC172C"/>
    <w:rPr>
      <w:sz w:val="20"/>
    </w:rPr>
  </w:style>
  <w:style w:type="paragraph" w:styleId="Footer">
    <w:name w:val="footer"/>
    <w:basedOn w:val="Normal"/>
    <w:rsid w:val="00CC172C"/>
    <w:pPr>
      <w:tabs>
        <w:tab w:val="center" w:pos="4680"/>
        <w:tab w:val="right" w:pos="9360"/>
      </w:tabs>
    </w:pPr>
  </w:style>
  <w:style w:type="paragraph" w:styleId="Header">
    <w:name w:val="header"/>
    <w:basedOn w:val="Normal"/>
    <w:rsid w:val="00CC172C"/>
    <w:pPr>
      <w:tabs>
        <w:tab w:val="center" w:pos="4680"/>
        <w:tab w:val="right" w:pos="9360"/>
      </w:tabs>
    </w:pPr>
  </w:style>
  <w:style w:type="character" w:customStyle="1" w:styleId="HeaderFooter">
    <w:name w:val="HeaderFooter"/>
    <w:basedOn w:val="DefaultParagraphFont"/>
    <w:rsid w:val="00FA7321"/>
    <w:rPr>
      <w:rFonts w:ascii="Century Schoolbook" w:hAnsi="Century Schoolbook"/>
      <w:b/>
      <w:dstrike w:val="0"/>
      <w:noProof/>
      <w:sz w:val="18"/>
      <w:szCs w:val="16"/>
      <w:vertAlign w:val="baseline"/>
    </w:rPr>
  </w:style>
  <w:style w:type="paragraph" w:customStyle="1" w:styleId="HeadingTitle">
    <w:name w:val="Heading Title"/>
    <w:basedOn w:val="Normal"/>
    <w:rsid w:val="00CC172C"/>
    <w:rPr>
      <w:b/>
      <w:caps/>
    </w:rPr>
  </w:style>
  <w:style w:type="paragraph" w:customStyle="1" w:styleId="MemoHeading">
    <w:name w:val="Memo Heading"/>
    <w:basedOn w:val="Normal"/>
    <w:link w:val="MemoHeadingChar"/>
    <w:rsid w:val="003730BD"/>
    <w:pPr>
      <w:spacing w:after="480"/>
      <w:jc w:val="center"/>
    </w:pPr>
    <w:rPr>
      <w:b/>
      <w:noProof/>
      <w:spacing w:val="120"/>
      <w:sz w:val="28"/>
      <w:u w:val="single"/>
    </w:rPr>
  </w:style>
  <w:style w:type="character" w:styleId="PageNumber">
    <w:name w:val="page number"/>
    <w:basedOn w:val="DefaultParagraphFont"/>
    <w:rsid w:val="00CC172C"/>
  </w:style>
  <w:style w:type="paragraph" w:customStyle="1" w:styleId="Privilege">
    <w:name w:val="Privilege"/>
    <w:basedOn w:val="MemoHeading"/>
    <w:rsid w:val="00CC172C"/>
    <w:rPr>
      <w:b w:val="0"/>
      <w:caps/>
      <w:spacing w:val="20"/>
      <w:sz w:val="24"/>
      <w:szCs w:val="24"/>
      <w:u w:val="none"/>
    </w:rPr>
  </w:style>
  <w:style w:type="paragraph" w:customStyle="1" w:styleId="ReLine">
    <w:name w:val="ReLine"/>
    <w:basedOn w:val="Normal"/>
    <w:rsid w:val="00CC172C"/>
  </w:style>
  <w:style w:type="table" w:styleId="TableGrid">
    <w:name w:val="Table Grid"/>
    <w:basedOn w:val="TableNormal"/>
    <w:rsid w:val="00D7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FooterOfficeInfo">
    <w:name w:val="HeaderFooterOfficeInfo"/>
    <w:basedOn w:val="DefaultParagraphFont"/>
    <w:rsid w:val="009F287D"/>
    <w:rPr>
      <w:rFonts w:ascii="Century Schoolbook" w:hAnsi="Century Schoolbook"/>
      <w:b/>
      <w:noProof/>
      <w:vanish w:val="0"/>
      <w:color w:val="auto"/>
      <w:sz w:val="16"/>
    </w:rPr>
  </w:style>
  <w:style w:type="paragraph" w:customStyle="1" w:styleId="PartnerList">
    <w:name w:val="PartnerList"/>
    <w:basedOn w:val="Normal"/>
    <w:link w:val="PartnerListChar"/>
    <w:rsid w:val="009F287D"/>
    <w:rPr>
      <w:rFonts w:ascii="Tahoma" w:hAnsi="Tahoma"/>
      <w:b/>
      <w:noProof/>
      <w:color w:val="404040"/>
      <w:spacing w:val="120"/>
      <w:sz w:val="8"/>
      <w:u w:val="single"/>
    </w:rPr>
  </w:style>
  <w:style w:type="character" w:customStyle="1" w:styleId="MemoHeadingChar">
    <w:name w:val="Memo Heading Char"/>
    <w:basedOn w:val="DefaultParagraphFont"/>
    <w:link w:val="MemoHeading"/>
    <w:rsid w:val="009F287D"/>
    <w:rPr>
      <w:b/>
      <w:noProof/>
      <w:spacing w:val="120"/>
      <w:sz w:val="28"/>
      <w:u w:val="single"/>
    </w:rPr>
  </w:style>
  <w:style w:type="character" w:customStyle="1" w:styleId="PartnerListChar">
    <w:name w:val="PartnerList Char"/>
    <w:basedOn w:val="MemoHeadingChar"/>
    <w:link w:val="PartnerList"/>
    <w:rsid w:val="009F287D"/>
    <w:rPr>
      <w:rFonts w:ascii="Tahoma" w:hAnsi="Tahoma"/>
      <w:b/>
      <w:noProof/>
      <w:color w:val="404040"/>
      <w:spacing w:val="120"/>
      <w:sz w:val="8"/>
      <w:u w:val="single"/>
    </w:rPr>
  </w:style>
  <w:style w:type="paragraph" w:customStyle="1" w:styleId="vsLastFooter">
    <w:name w:val="vsLastFooter"/>
    <w:basedOn w:val="MemoHeading"/>
    <w:next w:val="Normal"/>
    <w:rsid w:val="009F287D"/>
    <w:pPr>
      <w:widowControl w:val="0"/>
      <w:spacing w:after="240" w:line="240" w:lineRule="exact"/>
      <w:jc w:val="left"/>
    </w:pPr>
    <w:rPr>
      <w:rFonts w:ascii="Arial" w:hAnsi="Arial" w:cs="Arial"/>
      <w:color w:val="FF0000"/>
      <w:sz w:val="14"/>
    </w:rPr>
  </w:style>
  <w:style w:type="paragraph" w:styleId="ListParagraph">
    <w:name w:val="List Paragraph"/>
    <w:basedOn w:val="Normal"/>
    <w:uiPriority w:val="34"/>
    <w:qFormat/>
    <w:rsid w:val="00AE49F7"/>
    <w:pPr>
      <w:ind w:left="720"/>
      <w:contextualSpacing/>
    </w:pPr>
  </w:style>
  <w:style w:type="paragraph" w:styleId="FootnoteText">
    <w:name w:val="footnote text"/>
    <w:basedOn w:val="Normal"/>
    <w:link w:val="FootnoteTextChar"/>
    <w:rsid w:val="006F57F7"/>
    <w:rPr>
      <w:sz w:val="20"/>
    </w:rPr>
  </w:style>
  <w:style w:type="character" w:customStyle="1" w:styleId="FootnoteTextChar">
    <w:name w:val="Footnote Text Char"/>
    <w:basedOn w:val="DefaultParagraphFont"/>
    <w:link w:val="FootnoteText"/>
    <w:rsid w:val="006F57F7"/>
  </w:style>
  <w:style w:type="character" w:styleId="FootnoteReference">
    <w:name w:val="footnote reference"/>
    <w:basedOn w:val="DefaultParagraphFont"/>
    <w:rsid w:val="006F57F7"/>
    <w:rPr>
      <w:vertAlign w:val="superscript"/>
    </w:rPr>
  </w:style>
  <w:style w:type="character" w:customStyle="1" w:styleId="vsDraft">
    <w:name w:val="vsDraft"/>
    <w:basedOn w:val="DefaultParagraphFont"/>
    <w:rsid w:val="0042583E"/>
    <w:rPr>
      <w:b/>
      <w:noProof/>
    </w:rPr>
  </w:style>
  <w:style w:type="character" w:styleId="CommentReference">
    <w:name w:val="annotation reference"/>
    <w:basedOn w:val="DefaultParagraphFont"/>
    <w:semiHidden/>
    <w:unhideWhenUsed/>
    <w:rsid w:val="00540030"/>
    <w:rPr>
      <w:sz w:val="16"/>
      <w:szCs w:val="16"/>
    </w:rPr>
  </w:style>
  <w:style w:type="paragraph" w:styleId="CommentText">
    <w:name w:val="annotation text"/>
    <w:basedOn w:val="Normal"/>
    <w:link w:val="CommentTextChar"/>
    <w:semiHidden/>
    <w:unhideWhenUsed/>
    <w:rsid w:val="00540030"/>
    <w:rPr>
      <w:sz w:val="20"/>
    </w:rPr>
  </w:style>
  <w:style w:type="character" w:customStyle="1" w:styleId="CommentTextChar">
    <w:name w:val="Comment Text Char"/>
    <w:basedOn w:val="DefaultParagraphFont"/>
    <w:link w:val="CommentText"/>
    <w:semiHidden/>
    <w:rsid w:val="00540030"/>
  </w:style>
  <w:style w:type="paragraph" w:styleId="CommentSubject">
    <w:name w:val="annotation subject"/>
    <w:basedOn w:val="CommentText"/>
    <w:next w:val="CommentText"/>
    <w:link w:val="CommentSubjectChar"/>
    <w:semiHidden/>
    <w:unhideWhenUsed/>
    <w:rsid w:val="00540030"/>
    <w:rPr>
      <w:b/>
      <w:bCs/>
    </w:rPr>
  </w:style>
  <w:style w:type="character" w:customStyle="1" w:styleId="CommentSubjectChar">
    <w:name w:val="Comment Subject Char"/>
    <w:basedOn w:val="CommentTextChar"/>
    <w:link w:val="CommentSubject"/>
    <w:semiHidden/>
    <w:rsid w:val="00540030"/>
    <w:rPr>
      <w:b/>
      <w:bCs/>
    </w:rPr>
  </w:style>
  <w:style w:type="paragraph" w:styleId="BalloonText">
    <w:name w:val="Balloon Text"/>
    <w:basedOn w:val="Normal"/>
    <w:link w:val="BalloonTextChar"/>
    <w:semiHidden/>
    <w:unhideWhenUsed/>
    <w:rsid w:val="00540030"/>
    <w:rPr>
      <w:rFonts w:ascii="Segoe UI" w:hAnsi="Segoe UI" w:cs="Segoe UI"/>
      <w:sz w:val="18"/>
      <w:szCs w:val="18"/>
    </w:rPr>
  </w:style>
  <w:style w:type="character" w:customStyle="1" w:styleId="BalloonTextChar">
    <w:name w:val="Balloon Text Char"/>
    <w:basedOn w:val="DefaultParagraphFont"/>
    <w:link w:val="BalloonText"/>
    <w:semiHidden/>
    <w:rsid w:val="00540030"/>
    <w:rPr>
      <w:rFonts w:ascii="Segoe UI" w:hAnsi="Segoe UI" w:cs="Segoe UI"/>
      <w:sz w:val="18"/>
      <w:szCs w:val="18"/>
    </w:rPr>
  </w:style>
  <w:style w:type="paragraph" w:styleId="NormalWeb">
    <w:name w:val="Normal (Web)"/>
    <w:basedOn w:val="Normal"/>
    <w:uiPriority w:val="99"/>
    <w:semiHidden/>
    <w:unhideWhenUsed/>
    <w:rsid w:val="00297F18"/>
    <w:pPr>
      <w:spacing w:before="100" w:beforeAutospacing="1" w:after="100" w:afterAutospacing="1"/>
    </w:pPr>
    <w:rPr>
      <w:szCs w:val="24"/>
    </w:rPr>
  </w:style>
  <w:style w:type="character" w:styleId="Hyperlink">
    <w:name w:val="Hyperlink"/>
    <w:basedOn w:val="DefaultParagraphFont"/>
    <w:unhideWhenUsed/>
    <w:rsid w:val="000C14E7"/>
    <w:rPr>
      <w:color w:val="0000FF" w:themeColor="hyperlink"/>
      <w:u w:val="single"/>
    </w:rPr>
  </w:style>
  <w:style w:type="paragraph" w:styleId="EndnoteText">
    <w:name w:val="endnote text"/>
    <w:basedOn w:val="Normal"/>
    <w:link w:val="EndnoteTextChar"/>
    <w:semiHidden/>
    <w:unhideWhenUsed/>
    <w:rsid w:val="00D44A3F"/>
    <w:rPr>
      <w:sz w:val="20"/>
    </w:rPr>
  </w:style>
  <w:style w:type="character" w:customStyle="1" w:styleId="EndnoteTextChar">
    <w:name w:val="Endnote Text Char"/>
    <w:basedOn w:val="DefaultParagraphFont"/>
    <w:link w:val="EndnoteText"/>
    <w:semiHidden/>
    <w:rsid w:val="00D44A3F"/>
  </w:style>
  <w:style w:type="character" w:styleId="EndnoteReference">
    <w:name w:val="endnote reference"/>
    <w:basedOn w:val="DefaultParagraphFont"/>
    <w:semiHidden/>
    <w:unhideWhenUsed/>
    <w:rsid w:val="00D44A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Microsoft%20Office\Templates\Vorys%20Memo.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0A83A-62F9-4069-9DBA-69240EE8ED77}">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6361A50-0BB2-4038-9F20-7BC766C4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Vorys Memo.dotm</Template>
  <TotalTime>0</TotalTime>
  <Pages>3</Pages>
  <Words>1564</Words>
  <Characters>8555</Characters>
  <Application>Microsoft Office Word</Application>
  <DocSecurity>0</DocSecurity>
  <Lines>163</Lines>
  <Paragraphs>34</Paragraphs>
  <ScaleCrop>false</ScaleCrop>
  <HeadingPairs>
    <vt:vector size="2" baseType="variant">
      <vt:variant>
        <vt:lpstr>Title</vt:lpstr>
      </vt:variant>
      <vt:variant>
        <vt:i4>1</vt:i4>
      </vt:variant>
    </vt:vector>
  </HeadingPairs>
  <TitlesOfParts>
    <vt:vector size="1" baseType="lpstr">
      <vt:lpstr>Memo to Ohio Provider Resource Association re Sprinkler Requirements for ICFs</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2019-05-22T22:40:48Z</dcterms:created>
  <dcterms:modified xsi:type="dcterms:W3CDTF">2019-05-22T22:40:48Z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Author">
    <vt:lpwstr>scmajoras</vt:lpwstr>
  </property>
  <property fmtid="{D5CDD505-2E9C-101B-9397-08002B2CF9AE}" pid="3" name="Doc Title">
    <vt:lpwstr>Memo to Ohio Provider Resource Association re Sprinkler Requirements for ICFs</vt:lpwstr>
  </property>
  <property fmtid="{D5CDD505-2E9C-101B-9397-08002B2CF9AE}" pid="4" name="Office Version">
    <vt:lpwstr>2007</vt:lpwstr>
  </property>
  <property fmtid="{D5CDD505-2E9C-101B-9397-08002B2CF9AE}" pid="5" name="TypeofTemplate">
    <vt:lpwstr>Memo</vt:lpwstr>
  </property>
  <property fmtid="{D5CDD505-2E9C-101B-9397-08002B2CF9AE}" pid="6" name="vsAssemblyLocation">
    <vt:lpwstr>VorysMemo.vsto|3474e72a-3974-442e-b9ca-3d0084c8550e|vstolocal</vt:lpwstr>
  </property>
  <property fmtid="{D5CDD505-2E9C-101B-9397-08002B2CF9AE}" pid="7" name="vsAssemblyName">
    <vt:lpwstr>4E3C66D5-58D4-491E-A7D4-64AF99AF6E8B</vt:lpwstr>
  </property>
</Properties>
</file>