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5F86" w14:textId="77777777" w:rsidR="00B848A7" w:rsidRPr="0034158C" w:rsidRDefault="00B848A7" w:rsidP="00FC2EBC">
      <w:pPr>
        <w:tabs>
          <w:tab w:val="left" w:pos="360"/>
        </w:tabs>
        <w:rPr>
          <w:rFonts w:ascii="Calibri" w:hAnsi="Calibri"/>
        </w:rPr>
      </w:pPr>
    </w:p>
    <w:p w14:paraId="53275C07" w14:textId="77777777" w:rsidR="00290BE4" w:rsidRPr="0034158C" w:rsidRDefault="00290BE4" w:rsidP="00FC2EBC">
      <w:pPr>
        <w:tabs>
          <w:tab w:val="left" w:pos="360"/>
        </w:tabs>
        <w:rPr>
          <w:rFonts w:ascii="Calibri" w:hAnsi="Calibri"/>
        </w:rPr>
      </w:pPr>
    </w:p>
    <w:p w14:paraId="1C312776" w14:textId="5BF681C7" w:rsidR="00365A01" w:rsidRDefault="00365A01" w:rsidP="00365A01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OPRA, along with other stakeholders in the developmental disabilities field, had supported and submitted an amendment that was meant to address three issues.</w:t>
      </w:r>
    </w:p>
    <w:p w14:paraId="39B8760C" w14:textId="77777777" w:rsidR="00365A01" w:rsidRDefault="00365A01" w:rsidP="00365A0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5E1D6AF" w14:textId="0DA603EF" w:rsidR="00365A01" w:rsidRDefault="00365A01" w:rsidP="00365A0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65A01">
        <w:rPr>
          <w:rFonts w:asciiTheme="minorHAnsi" w:hAnsiTheme="minorHAnsi" w:cstheme="minorHAnsi"/>
          <w:sz w:val="23"/>
          <w:szCs w:val="23"/>
        </w:rPr>
        <w:t xml:space="preserve">Unfortunately, </w:t>
      </w:r>
      <w:r>
        <w:rPr>
          <w:rFonts w:asciiTheme="minorHAnsi" w:hAnsiTheme="minorHAnsi" w:cstheme="minorHAnsi"/>
          <w:sz w:val="23"/>
          <w:szCs w:val="23"/>
        </w:rPr>
        <w:t>the</w:t>
      </w:r>
      <w:r w:rsidRPr="00365A01">
        <w:rPr>
          <w:rFonts w:asciiTheme="minorHAnsi" w:hAnsiTheme="minorHAnsi" w:cstheme="minorHAnsi"/>
          <w:sz w:val="23"/>
          <w:szCs w:val="23"/>
        </w:rPr>
        <w:t xml:space="preserve"> amendment did not make it into the House bill despite</w:t>
      </w:r>
      <w:r>
        <w:rPr>
          <w:rFonts w:asciiTheme="minorHAnsi" w:hAnsiTheme="minorHAnsi" w:cstheme="minorHAnsi"/>
          <w:sz w:val="23"/>
          <w:szCs w:val="23"/>
        </w:rPr>
        <w:t xml:space="preserve"> carrying agreement of the D</w:t>
      </w:r>
      <w:r w:rsidRPr="00365A01">
        <w:rPr>
          <w:rFonts w:asciiTheme="minorHAnsi" w:hAnsiTheme="minorHAnsi" w:cstheme="minorHAnsi"/>
          <w:sz w:val="23"/>
          <w:szCs w:val="23"/>
        </w:rPr>
        <w:t>epartment</w:t>
      </w:r>
      <w:r>
        <w:rPr>
          <w:rFonts w:asciiTheme="minorHAnsi" w:hAnsiTheme="minorHAnsi" w:cstheme="minorHAnsi"/>
          <w:sz w:val="23"/>
          <w:szCs w:val="23"/>
        </w:rPr>
        <w:t xml:space="preserve"> of Developmental Disabilities</w:t>
      </w:r>
      <w:r w:rsidRPr="00365A01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 xml:space="preserve">OPRA and other </w:t>
      </w:r>
      <w:r w:rsidRPr="00365A01">
        <w:rPr>
          <w:rFonts w:asciiTheme="minorHAnsi" w:hAnsiTheme="minorHAnsi" w:cstheme="minorHAnsi"/>
          <w:sz w:val="23"/>
          <w:szCs w:val="23"/>
        </w:rPr>
        <w:t xml:space="preserve">provider associations, and county boards. We did not hear any concerns from House members about this amendment, and we understand its omission was accidental. </w:t>
      </w:r>
    </w:p>
    <w:p w14:paraId="34F1A7D0" w14:textId="77777777" w:rsidR="00365A01" w:rsidRPr="00365A01" w:rsidRDefault="00365A01" w:rsidP="00365A0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6ECC975" w14:textId="27662857" w:rsidR="00365A01" w:rsidRDefault="00365A01" w:rsidP="00365A0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amendment addressed three issues:</w:t>
      </w:r>
      <w:r w:rsidRPr="00365A0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5264B61" w14:textId="77777777" w:rsidR="00FE0C9E" w:rsidRDefault="00FE0C9E" w:rsidP="00365A0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14:paraId="1ECF12DA" w14:textId="3AE42FFC" w:rsidR="00365A01" w:rsidRPr="00FE0C9E" w:rsidRDefault="00FE0C9E" w:rsidP="00365A01">
      <w:pPr>
        <w:pStyle w:val="ListParagraph"/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3"/>
          <w:szCs w:val="23"/>
        </w:rPr>
        <w:t>Intermediate Care Facilities for Individuals with Intellectual Disabilities (</w:t>
      </w:r>
      <w:r w:rsidR="00365A01">
        <w:rPr>
          <w:rFonts w:asciiTheme="minorHAnsi" w:hAnsiTheme="minorHAnsi" w:cstheme="minorHAnsi"/>
          <w:sz w:val="23"/>
          <w:szCs w:val="23"/>
        </w:rPr>
        <w:t>ICF</w:t>
      </w:r>
      <w:r>
        <w:rPr>
          <w:rFonts w:asciiTheme="minorHAnsi" w:hAnsiTheme="minorHAnsi" w:cstheme="minorHAnsi"/>
          <w:sz w:val="23"/>
          <w:szCs w:val="23"/>
        </w:rPr>
        <w:t>)</w:t>
      </w:r>
      <w:r w:rsidR="00365A01">
        <w:rPr>
          <w:rFonts w:asciiTheme="minorHAnsi" w:hAnsiTheme="minorHAnsi" w:cstheme="minorHAnsi"/>
          <w:sz w:val="23"/>
          <w:szCs w:val="23"/>
        </w:rPr>
        <w:t xml:space="preserve"> Quality Measures:</w:t>
      </w:r>
      <w:r w:rsidR="00365A01" w:rsidRPr="00365A01">
        <w:rPr>
          <w:rFonts w:asciiTheme="minorHAnsi" w:hAnsiTheme="minorHAnsi" w:cstheme="minorHAnsi"/>
          <w:sz w:val="23"/>
          <w:szCs w:val="23"/>
        </w:rPr>
        <w:t xml:space="preserve"> postpone and revise the quality measures that </w:t>
      </w:r>
      <w:r>
        <w:rPr>
          <w:rFonts w:asciiTheme="minorHAnsi" w:hAnsiTheme="minorHAnsi" w:cstheme="minorHAnsi"/>
          <w:sz w:val="23"/>
          <w:szCs w:val="23"/>
        </w:rPr>
        <w:t>was set to</w:t>
      </w:r>
      <w:r w:rsidR="00365A01" w:rsidRPr="00365A01">
        <w:rPr>
          <w:rFonts w:asciiTheme="minorHAnsi" w:hAnsiTheme="minorHAnsi" w:cstheme="minorHAnsi"/>
          <w:sz w:val="23"/>
          <w:szCs w:val="23"/>
        </w:rPr>
        <w:t xml:space="preserve"> determine a portion of the ICF rate in the future. The quality measures specified in </w:t>
      </w:r>
      <w:bookmarkStart w:id="0" w:name="_GoBack"/>
      <w:r>
        <w:rPr>
          <w:rFonts w:asciiTheme="minorHAnsi" w:hAnsiTheme="minorHAnsi" w:cstheme="minorHAnsi"/>
          <w:sz w:val="23"/>
          <w:szCs w:val="23"/>
        </w:rPr>
        <w:t xml:space="preserve">last term’s </w:t>
      </w:r>
      <w:bookmarkEnd w:id="0"/>
      <w:r w:rsidR="00365A01" w:rsidRPr="00365A01">
        <w:rPr>
          <w:rFonts w:asciiTheme="minorHAnsi" w:hAnsiTheme="minorHAnsi" w:cstheme="minorHAnsi"/>
          <w:sz w:val="23"/>
          <w:szCs w:val="23"/>
        </w:rPr>
        <w:t xml:space="preserve">HB 24 proved excessively burdensome and the payment methodology would have denied some providers money they are using to address the DSP crisis. </w:t>
      </w:r>
    </w:p>
    <w:p w14:paraId="5F11A093" w14:textId="77777777" w:rsidR="00FE0C9E" w:rsidRPr="00365A01" w:rsidRDefault="00FE0C9E" w:rsidP="00FE0C9E">
      <w:pPr>
        <w:pStyle w:val="ListParagraph"/>
        <w:tabs>
          <w:tab w:val="left" w:pos="0"/>
        </w:tabs>
        <w:rPr>
          <w:rFonts w:asciiTheme="minorHAnsi" w:hAnsiTheme="minorHAnsi" w:cstheme="minorHAnsi"/>
        </w:rPr>
      </w:pPr>
    </w:p>
    <w:p w14:paraId="39155662" w14:textId="424A12ED" w:rsidR="00365A01" w:rsidRPr="00FE0C9E" w:rsidRDefault="00FE0C9E" w:rsidP="00365A01">
      <w:pPr>
        <w:pStyle w:val="ListParagraph"/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3"/>
          <w:szCs w:val="23"/>
        </w:rPr>
        <w:t>ICF Franchise Permit Fee:</w:t>
      </w:r>
      <w:r w:rsidR="00365A01" w:rsidRPr="00365A0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increase </w:t>
      </w:r>
      <w:r w:rsidRPr="00365A01">
        <w:rPr>
          <w:rFonts w:asciiTheme="minorHAnsi" w:hAnsiTheme="minorHAnsi" w:cstheme="minorHAnsi"/>
          <w:sz w:val="23"/>
          <w:szCs w:val="23"/>
        </w:rPr>
        <w:t xml:space="preserve">incentive </w:t>
      </w:r>
      <w:r>
        <w:rPr>
          <w:rFonts w:asciiTheme="minorHAnsi" w:hAnsiTheme="minorHAnsi" w:cstheme="minorHAnsi"/>
          <w:sz w:val="23"/>
          <w:szCs w:val="23"/>
        </w:rPr>
        <w:t xml:space="preserve">funding for ICFs to support individuals with significant behavioral support needs </w:t>
      </w:r>
      <w:r w:rsidRPr="00365A01">
        <w:rPr>
          <w:rFonts w:asciiTheme="minorHAnsi" w:hAnsiTheme="minorHAnsi" w:cstheme="minorHAnsi"/>
          <w:sz w:val="23"/>
          <w:szCs w:val="23"/>
        </w:rPr>
        <w:t xml:space="preserve">from an increase in the ICF franchise permit fee. </w:t>
      </w:r>
      <w:r w:rsidR="00365A01" w:rsidRPr="00365A0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EC4DAAD" w14:textId="744F75C6" w:rsidR="00FE0C9E" w:rsidRPr="00FE0C9E" w:rsidRDefault="00FE0C9E" w:rsidP="00FE0C9E">
      <w:pPr>
        <w:tabs>
          <w:tab w:val="left" w:pos="0"/>
        </w:tabs>
        <w:rPr>
          <w:rFonts w:asciiTheme="minorHAnsi" w:hAnsiTheme="minorHAnsi" w:cstheme="minorHAnsi"/>
        </w:rPr>
      </w:pPr>
    </w:p>
    <w:p w14:paraId="6A43AE5A" w14:textId="11426332" w:rsidR="00C72385" w:rsidRPr="00365A01" w:rsidRDefault="00FE0C9E" w:rsidP="00365A01">
      <w:pPr>
        <w:pStyle w:val="ListParagraph"/>
        <w:numPr>
          <w:ilvl w:val="0"/>
          <w:numId w:val="7"/>
        </w:num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3"/>
          <w:szCs w:val="23"/>
        </w:rPr>
        <w:t>Summary Suspension:</w:t>
      </w:r>
      <w:r w:rsidR="00365A01" w:rsidRPr="00365A0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s</w:t>
      </w:r>
      <w:r w:rsidR="00365A01" w:rsidRPr="00365A01">
        <w:rPr>
          <w:rFonts w:asciiTheme="minorHAnsi" w:hAnsiTheme="minorHAnsi" w:cstheme="minorHAnsi"/>
          <w:sz w:val="23"/>
          <w:szCs w:val="23"/>
        </w:rPr>
        <w:t>treamline and clarify provisions in the bill on summary suspension of supported living services.</w:t>
      </w:r>
    </w:p>
    <w:sectPr w:rsidR="00C72385" w:rsidRPr="00365A01" w:rsidSect="002D5D41">
      <w:headerReference w:type="first" r:id="rId8"/>
      <w:footerReference w:type="first" r:id="rId9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A2E0" w14:textId="77777777" w:rsidR="000319F5" w:rsidRDefault="000319F5" w:rsidP="005A650E">
      <w:r>
        <w:separator/>
      </w:r>
    </w:p>
  </w:endnote>
  <w:endnote w:type="continuationSeparator" w:id="0">
    <w:p w14:paraId="74E06B41" w14:textId="77777777" w:rsidR="000319F5" w:rsidRDefault="000319F5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B138" w14:textId="77777777" w:rsidR="00246236" w:rsidRDefault="00246236" w:rsidP="004D2FAD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AB625B4" wp14:editId="4038D284">
          <wp:simplePos x="0" y="0"/>
          <wp:positionH relativeFrom="page">
            <wp:align>center</wp:align>
          </wp:positionH>
          <wp:positionV relativeFrom="bottomMargin">
            <wp:posOffset>438150</wp:posOffset>
          </wp:positionV>
          <wp:extent cx="6858000" cy="228600"/>
          <wp:effectExtent l="0" t="0" r="0" b="0"/>
          <wp:wrapSquare wrapText="bothSides"/>
          <wp:docPr id="1" name="Picture 2" descr="OPRA Letterhead Contact Line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 Letterhead Contact Line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02CA" w14:textId="77777777" w:rsidR="000319F5" w:rsidRDefault="000319F5" w:rsidP="005A650E">
      <w:r>
        <w:separator/>
      </w:r>
    </w:p>
  </w:footnote>
  <w:footnote w:type="continuationSeparator" w:id="0">
    <w:p w14:paraId="24CD2F41" w14:textId="77777777" w:rsidR="000319F5" w:rsidRDefault="000319F5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B80E0" w14:textId="6CB8B6F0" w:rsidR="00246236" w:rsidRDefault="00246236" w:rsidP="00365A01">
    <w:pPr>
      <w:ind w:left="-14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151E5" wp14:editId="659FFC2E">
          <wp:simplePos x="0" y="0"/>
          <wp:positionH relativeFrom="page">
            <wp:posOffset>381000</wp:posOffset>
          </wp:positionH>
          <wp:positionV relativeFrom="page">
            <wp:posOffset>342900</wp:posOffset>
          </wp:positionV>
          <wp:extent cx="1638300" cy="904875"/>
          <wp:effectExtent l="0" t="0" r="12700" b="9525"/>
          <wp:wrapSquare wrapText="bothSides"/>
          <wp:docPr id="2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RA Logo with Dots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A01">
      <w:t>5/14/2019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63DF"/>
    <w:multiLevelType w:val="hybridMultilevel"/>
    <w:tmpl w:val="8072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348"/>
    <w:multiLevelType w:val="hybridMultilevel"/>
    <w:tmpl w:val="9D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B365E"/>
    <w:multiLevelType w:val="hybridMultilevel"/>
    <w:tmpl w:val="943A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801E9"/>
    <w:multiLevelType w:val="hybridMultilevel"/>
    <w:tmpl w:val="023C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D5680"/>
    <w:multiLevelType w:val="hybridMultilevel"/>
    <w:tmpl w:val="6AF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7650FF"/>
    <w:multiLevelType w:val="hybridMultilevel"/>
    <w:tmpl w:val="69E6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319F5"/>
    <w:rsid w:val="00044B9A"/>
    <w:rsid w:val="000A4861"/>
    <w:rsid w:val="000E124F"/>
    <w:rsid w:val="000E19DC"/>
    <w:rsid w:val="000F6040"/>
    <w:rsid w:val="001100B0"/>
    <w:rsid w:val="00114F96"/>
    <w:rsid w:val="001456BA"/>
    <w:rsid w:val="00172C9F"/>
    <w:rsid w:val="00181FB6"/>
    <w:rsid w:val="001914E3"/>
    <w:rsid w:val="001A11FB"/>
    <w:rsid w:val="001B09DF"/>
    <w:rsid w:val="001B57E7"/>
    <w:rsid w:val="001B5FCA"/>
    <w:rsid w:val="001D564A"/>
    <w:rsid w:val="001E2F56"/>
    <w:rsid w:val="001E6BA7"/>
    <w:rsid w:val="001F4E76"/>
    <w:rsid w:val="002014B3"/>
    <w:rsid w:val="00206462"/>
    <w:rsid w:val="00246236"/>
    <w:rsid w:val="00253791"/>
    <w:rsid w:val="00262F2A"/>
    <w:rsid w:val="00264301"/>
    <w:rsid w:val="00283177"/>
    <w:rsid w:val="00290BE4"/>
    <w:rsid w:val="002D5D41"/>
    <w:rsid w:val="002D6B53"/>
    <w:rsid w:val="002E11E5"/>
    <w:rsid w:val="002F347D"/>
    <w:rsid w:val="0031186D"/>
    <w:rsid w:val="00315D6E"/>
    <w:rsid w:val="0034158C"/>
    <w:rsid w:val="00341F1D"/>
    <w:rsid w:val="00345B11"/>
    <w:rsid w:val="00345EFD"/>
    <w:rsid w:val="00361AE6"/>
    <w:rsid w:val="00365A01"/>
    <w:rsid w:val="003839F8"/>
    <w:rsid w:val="003C3841"/>
    <w:rsid w:val="003E1C26"/>
    <w:rsid w:val="003E5A2E"/>
    <w:rsid w:val="0040492C"/>
    <w:rsid w:val="0042559C"/>
    <w:rsid w:val="00431118"/>
    <w:rsid w:val="0043265F"/>
    <w:rsid w:val="00437D3C"/>
    <w:rsid w:val="00444A8A"/>
    <w:rsid w:val="00454DDC"/>
    <w:rsid w:val="00464D5E"/>
    <w:rsid w:val="00473890"/>
    <w:rsid w:val="004834FE"/>
    <w:rsid w:val="00493153"/>
    <w:rsid w:val="00495801"/>
    <w:rsid w:val="004B1E72"/>
    <w:rsid w:val="004D2FAD"/>
    <w:rsid w:val="004D4D80"/>
    <w:rsid w:val="004F311B"/>
    <w:rsid w:val="004F54B2"/>
    <w:rsid w:val="00501FD0"/>
    <w:rsid w:val="0052712B"/>
    <w:rsid w:val="005322BF"/>
    <w:rsid w:val="005367AB"/>
    <w:rsid w:val="005402C5"/>
    <w:rsid w:val="00560E1D"/>
    <w:rsid w:val="00575823"/>
    <w:rsid w:val="00590433"/>
    <w:rsid w:val="00595814"/>
    <w:rsid w:val="005A650E"/>
    <w:rsid w:val="005D65F4"/>
    <w:rsid w:val="006159A9"/>
    <w:rsid w:val="00626256"/>
    <w:rsid w:val="00632600"/>
    <w:rsid w:val="00634351"/>
    <w:rsid w:val="00644D8E"/>
    <w:rsid w:val="006600E1"/>
    <w:rsid w:val="006D0F9E"/>
    <w:rsid w:val="006D39C1"/>
    <w:rsid w:val="006D684B"/>
    <w:rsid w:val="007405BE"/>
    <w:rsid w:val="00740625"/>
    <w:rsid w:val="007564C8"/>
    <w:rsid w:val="00770673"/>
    <w:rsid w:val="00780956"/>
    <w:rsid w:val="00780CAB"/>
    <w:rsid w:val="007B4A54"/>
    <w:rsid w:val="007C6F67"/>
    <w:rsid w:val="007E6501"/>
    <w:rsid w:val="007F16AB"/>
    <w:rsid w:val="00857E68"/>
    <w:rsid w:val="00863A64"/>
    <w:rsid w:val="008778A3"/>
    <w:rsid w:val="00884AB0"/>
    <w:rsid w:val="00893556"/>
    <w:rsid w:val="008A3B3A"/>
    <w:rsid w:val="008A4FB4"/>
    <w:rsid w:val="0091691A"/>
    <w:rsid w:val="00922E4E"/>
    <w:rsid w:val="00937917"/>
    <w:rsid w:val="009850F9"/>
    <w:rsid w:val="009C40B1"/>
    <w:rsid w:val="009F538A"/>
    <w:rsid w:val="00A074CE"/>
    <w:rsid w:val="00A137F9"/>
    <w:rsid w:val="00A32B8A"/>
    <w:rsid w:val="00A516F6"/>
    <w:rsid w:val="00A76542"/>
    <w:rsid w:val="00A779E2"/>
    <w:rsid w:val="00A86A4B"/>
    <w:rsid w:val="00A93673"/>
    <w:rsid w:val="00AA15DE"/>
    <w:rsid w:val="00B42262"/>
    <w:rsid w:val="00B46205"/>
    <w:rsid w:val="00B5190B"/>
    <w:rsid w:val="00B5477B"/>
    <w:rsid w:val="00B62FA4"/>
    <w:rsid w:val="00B63C72"/>
    <w:rsid w:val="00B83A7D"/>
    <w:rsid w:val="00B848A7"/>
    <w:rsid w:val="00B8696D"/>
    <w:rsid w:val="00B961AB"/>
    <w:rsid w:val="00BC259A"/>
    <w:rsid w:val="00BD05AB"/>
    <w:rsid w:val="00BD1D21"/>
    <w:rsid w:val="00BD536B"/>
    <w:rsid w:val="00BE1EBA"/>
    <w:rsid w:val="00C05E7C"/>
    <w:rsid w:val="00C27D04"/>
    <w:rsid w:val="00C72385"/>
    <w:rsid w:val="00C91B62"/>
    <w:rsid w:val="00C965CA"/>
    <w:rsid w:val="00CB4AC6"/>
    <w:rsid w:val="00CC7ECE"/>
    <w:rsid w:val="00CD08D8"/>
    <w:rsid w:val="00D1361A"/>
    <w:rsid w:val="00D3756C"/>
    <w:rsid w:val="00D507B1"/>
    <w:rsid w:val="00D622C7"/>
    <w:rsid w:val="00D855C5"/>
    <w:rsid w:val="00D92199"/>
    <w:rsid w:val="00D94595"/>
    <w:rsid w:val="00DA1DA2"/>
    <w:rsid w:val="00DC62D2"/>
    <w:rsid w:val="00DF4C96"/>
    <w:rsid w:val="00E47FD9"/>
    <w:rsid w:val="00E53D9B"/>
    <w:rsid w:val="00E56023"/>
    <w:rsid w:val="00E6753A"/>
    <w:rsid w:val="00E861FE"/>
    <w:rsid w:val="00E900E8"/>
    <w:rsid w:val="00EA3A79"/>
    <w:rsid w:val="00EA5A95"/>
    <w:rsid w:val="00ED0A06"/>
    <w:rsid w:val="00F67DF5"/>
    <w:rsid w:val="00FC2EBC"/>
    <w:rsid w:val="00FC3E59"/>
    <w:rsid w:val="00FE0C9E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F26E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A15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564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5B11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45B11"/>
    <w:rPr>
      <w:b/>
      <w:bCs/>
    </w:rPr>
  </w:style>
  <w:style w:type="character" w:customStyle="1" w:styleId="apple-converted-space">
    <w:name w:val="apple-converted-space"/>
    <w:basedOn w:val="DefaultParagraphFont"/>
    <w:rsid w:val="00345B11"/>
  </w:style>
  <w:style w:type="paragraph" w:customStyle="1" w:styleId="Default">
    <w:name w:val="Default"/>
    <w:rsid w:val="00365A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2847-9636-4419-B725-B2C7D6A3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Christine Touvelle</cp:lastModifiedBy>
  <cp:revision>3</cp:revision>
  <cp:lastPrinted>2017-01-06T15:16:00Z</cp:lastPrinted>
  <dcterms:created xsi:type="dcterms:W3CDTF">2019-05-14T16:07:00Z</dcterms:created>
  <dcterms:modified xsi:type="dcterms:W3CDTF">2019-05-14T16:25:00Z</dcterms:modified>
</cp:coreProperties>
</file>