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43" w:rsidRDefault="008D5443" w:rsidP="008D5443"/>
    <w:p w:rsidR="008D5443" w:rsidRDefault="008D5443" w:rsidP="008D5443"/>
    <w:p w:rsidR="008D5443" w:rsidRDefault="008D5443" w:rsidP="008D5443"/>
    <w:p w:rsidR="008D5443" w:rsidRDefault="008D5443" w:rsidP="008D5443"/>
    <w:p w:rsidR="008D5443" w:rsidRDefault="008D5443" w:rsidP="008D5443">
      <w:pPr>
        <w:pBdr>
          <w:bottom w:val="outset" w:sz="6" w:space="1" w:color="auto"/>
        </w:pBdr>
      </w:pPr>
      <w:r>
        <w:t>On Friday April 5</w:t>
      </w:r>
      <w:r w:rsidRPr="008D5443">
        <w:rPr>
          <w:vertAlign w:val="superscript"/>
        </w:rPr>
        <w:t>th</w:t>
      </w:r>
      <w:r>
        <w:t>, 2019 Lisa Mathis sent out the following message to the OPRA Board of Directors:</w:t>
      </w:r>
    </w:p>
    <w:p w:rsidR="008D5443" w:rsidRDefault="008D5443" w:rsidP="008D5443"/>
    <w:p w:rsidR="008D5443" w:rsidRDefault="008D5443" w:rsidP="008D5443"/>
    <w:p w:rsidR="008D5443" w:rsidRDefault="008D5443" w:rsidP="008D5443">
      <w:r>
        <w:t xml:space="preserve">Dear OPRA Board Members, </w:t>
      </w:r>
    </w:p>
    <w:p w:rsidR="008D5443" w:rsidRDefault="008D5443" w:rsidP="008D5443">
      <w:r>
        <w:t xml:space="preserve">As budget negotiations commence, it has become apparent that the transportation proposal that has been in the works for the last 8 months or so will likely not get funded as written. If the transportation proposal is not funded, the $5 million currently allocated for transportation in Director Davis’s budget may end up going toward the wages of HPC direct support staff, which leaves day array providers with an unfunded </w:t>
      </w:r>
      <w:r>
        <w:t xml:space="preserve">community integration mandate, </w:t>
      </w:r>
      <w:r>
        <w:t xml:space="preserve">or worst case, we could lose the $5 million from DODD’s budget entirely.  In order to facilitate funding of the transportation proposal, an alternative proposal had been created that is more likely to be funded without challenge. </w:t>
      </w:r>
    </w:p>
    <w:p w:rsidR="008D5443" w:rsidRDefault="008D5443" w:rsidP="008D5443">
      <w:r>
        <w:t> </w:t>
      </w:r>
    </w:p>
    <w:p w:rsidR="008D5443" w:rsidRDefault="008D5443" w:rsidP="008D5443">
      <w:r>
        <w:t xml:space="preserve">We believe this alternative </w:t>
      </w:r>
      <w:r>
        <w:t>transportation</w:t>
      </w:r>
      <w:r>
        <w:t xml:space="preserve"> proposal will still allow individuals to more easily get to where they need to go, when they need to be there, while bringing additional </w:t>
      </w:r>
      <w:r>
        <w:t>transportation</w:t>
      </w:r>
      <w:r>
        <w:t xml:space="preserve"> dollars and to both HPC and Day Array providers. </w:t>
      </w:r>
    </w:p>
    <w:p w:rsidR="008D5443" w:rsidRDefault="008D5443" w:rsidP="008D5443">
      <w:r>
        <w:t> </w:t>
      </w:r>
    </w:p>
    <w:p w:rsidR="008D5443" w:rsidRDefault="008D5443" w:rsidP="008D5443">
      <w:r>
        <w:t xml:space="preserve">This morning during the conference we presented the alternative transportation proposal to the approximately 150 members in attendance; </w:t>
      </w:r>
      <w:r>
        <w:rPr>
          <w:i/>
          <w:iCs/>
        </w:rPr>
        <w:t>a show of hands showed unanimous support for the alternative transportation proposal.</w:t>
      </w:r>
      <w:r>
        <w:t xml:space="preserve"> We did not have enough board members in attendance to make a board vote, so </w:t>
      </w:r>
      <w:r>
        <w:rPr>
          <w:b/>
          <w:bCs/>
        </w:rPr>
        <w:t>we are asking for you to vote via email either in OPRA’s support of, or non-support of, this alternative transportation proposal</w:t>
      </w:r>
      <w:r>
        <w:t xml:space="preserve">.  For your convenience, I have </w:t>
      </w:r>
      <w:proofErr w:type="gramStart"/>
      <w:r>
        <w:t>a</w:t>
      </w:r>
      <w:proofErr w:type="gramEnd"/>
      <w:r>
        <w:t xml:space="preserve"> included a brief summary below of the proposals with differences highlighted in yellow. </w:t>
      </w:r>
    </w:p>
    <w:p w:rsidR="008D5443" w:rsidRDefault="008D5443" w:rsidP="008D5443">
      <w:r>
        <w:t> </w:t>
      </w:r>
    </w:p>
    <w:p w:rsidR="008D5443" w:rsidRDefault="008D5443" w:rsidP="008D5443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D5443" w:rsidTr="008D5443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43" w:rsidRDefault="008D5443">
            <w:r>
              <w:rPr>
                <w:b/>
                <w:bCs/>
              </w:rPr>
              <w:t xml:space="preserve">Current proposal 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43" w:rsidRDefault="008D5443">
            <w:r>
              <w:rPr>
                <w:b/>
                <w:bCs/>
              </w:rPr>
              <w:t xml:space="preserve">Alternative Proposal </w:t>
            </w:r>
          </w:p>
        </w:tc>
      </w:tr>
      <w:tr w:rsidR="008D5443" w:rsidTr="008D5443"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43" w:rsidRDefault="008D5443">
            <w:r>
              <w:t>Per-trip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rPr>
                <w:highlight w:val="yellow"/>
              </w:rPr>
              <w:t>Higher rates when transporting smaller groups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rPr>
                <w:highlight w:val="yellow"/>
              </w:rPr>
              <w:t>Higher rates when transporting individuals needing modified vehicle  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 xml:space="preserve">Provider can use any type/size of vehicle (sedan, van, bus,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1"/>
              </w:numPr>
              <w:contextualSpacing w:val="0"/>
            </w:pPr>
            <w:r>
              <w:t>To be used to get to and from a day service, volunteer experience, or post-secondary education</w:t>
            </w:r>
          </w:p>
          <w:p w:rsidR="008D5443" w:rsidRDefault="008D5443">
            <w:r>
              <w:t xml:space="preserve">Per Mile: 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>To be used for HPC transportation and for community integration activities during the day array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To be billed concurrent with a service (HPC, </w:t>
            </w:r>
            <w:proofErr w:type="spellStart"/>
            <w:r>
              <w:t>Voc</w:t>
            </w:r>
            <w:proofErr w:type="spellEnd"/>
            <w:r>
              <w:t xml:space="preserve"> </w:t>
            </w:r>
            <w:proofErr w:type="spellStart"/>
            <w:r>
              <w:t>Hab</w:t>
            </w:r>
            <w:proofErr w:type="spellEnd"/>
            <w:r>
              <w:t xml:space="preserve">, ADS,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>See per mile rates below - if any of the passengers require a modified vehicle, the modified vehicle rates apply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NMT budgets will be increased $1,000 per individual to allow for additional mileage needed for community integration activities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43" w:rsidRDefault="008D5443">
            <w:r>
              <w:t>Per Trip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rPr>
                <w:highlight w:val="yellow"/>
              </w:rPr>
              <w:t xml:space="preserve">Per trips remain the same as currently in rule 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Provider can use any type/size of vehicle (sedan, van, bus,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To be used to get to and from a day service, volunteer experience, or post-secondary education</w:t>
            </w:r>
          </w:p>
          <w:p w:rsidR="008D5443" w:rsidRDefault="008D5443">
            <w:r>
              <w:t xml:space="preserve">Per Mile: 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>To be used for HPC transportation and for community integration activities during the day array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 xml:space="preserve">To be billed concurrent with a service (HPC, </w:t>
            </w:r>
            <w:proofErr w:type="spellStart"/>
            <w:r>
              <w:t>Voc</w:t>
            </w:r>
            <w:proofErr w:type="spellEnd"/>
            <w:r>
              <w:t xml:space="preserve"> </w:t>
            </w:r>
            <w:proofErr w:type="spellStart"/>
            <w:r>
              <w:t>Hab</w:t>
            </w:r>
            <w:proofErr w:type="spellEnd"/>
            <w:r>
              <w:t xml:space="preserve">, ADS,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>See per mile rates below - if any of the passengers require a modified vehicle, the modified vehicle rates apply</w:t>
            </w:r>
          </w:p>
          <w:p w:rsidR="008D5443" w:rsidRDefault="008D5443" w:rsidP="003A3D4F">
            <w:pPr>
              <w:pStyle w:val="ListParagraph"/>
              <w:numPr>
                <w:ilvl w:val="0"/>
                <w:numId w:val="2"/>
              </w:numPr>
              <w:contextualSpacing w:val="0"/>
            </w:pPr>
            <w:r>
              <w:t>NMT budgets will be increased $1,000 per individual to allow for additional mileage needed for community integration activities</w:t>
            </w:r>
          </w:p>
        </w:tc>
      </w:tr>
      <w:tr w:rsidR="008D5443" w:rsidTr="008D5443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443" w:rsidRDefault="008D5443">
            <w:pPr>
              <w:pStyle w:val="Default"/>
            </w:pPr>
            <w:r>
              <w:t>           Per mile rates                         One Passenger           2-3 Passengers                4+ Passengers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717"/>
              <w:gridCol w:w="2300"/>
              <w:gridCol w:w="1983"/>
            </w:tblGrid>
            <w:tr w:rsidR="008D5443">
              <w:trPr>
                <w:trHeight w:val="194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</w:rPr>
                    <w:t>Standard Mileage (per person)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$.54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                         $.27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                    $.20 </w:t>
                  </w:r>
                </w:p>
              </w:tc>
            </w:tr>
            <w:tr w:rsidR="008D5443">
              <w:trPr>
                <w:trHeight w:val="194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Modified Vehicle Mileage (per person)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$.94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                         $.47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5443" w:rsidRDefault="008D5443">
                  <w:pPr>
                    <w:pStyle w:val="Defaul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                    $.35 </w:t>
                  </w:r>
                </w:p>
              </w:tc>
            </w:tr>
          </w:tbl>
          <w:p w:rsidR="008D5443" w:rsidRDefault="008D54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5443" w:rsidRDefault="008D5443" w:rsidP="008D5443">
      <w:r>
        <w:t> </w:t>
      </w:r>
    </w:p>
    <w:p w:rsidR="008D5443" w:rsidRDefault="008D5443" w:rsidP="008D5443">
      <w:r>
        <w:t xml:space="preserve">Let me know if you have any questions or concerns, </w:t>
      </w:r>
    </w:p>
    <w:p w:rsidR="008D5443" w:rsidRDefault="008D5443" w:rsidP="008D5443">
      <w:r>
        <w:t>Lisa</w:t>
      </w:r>
    </w:p>
    <w:p w:rsidR="008D5443" w:rsidRDefault="008D5443" w:rsidP="008D5443">
      <w:r>
        <w:t> </w:t>
      </w:r>
    </w:p>
    <w:p w:rsidR="008D5443" w:rsidRDefault="008D5443" w:rsidP="008D5443">
      <w:r>
        <w:rPr>
          <w:rFonts w:ascii="Verdana" w:hAnsi="Verdana"/>
          <w:b/>
          <w:bCs/>
          <w:color w:val="1F497D"/>
          <w:sz w:val="20"/>
          <w:szCs w:val="20"/>
        </w:rPr>
        <w:t>Lisa Mathis, Ph.D.</w:t>
      </w:r>
    </w:p>
    <w:p w:rsidR="008D5443" w:rsidRDefault="008D5443" w:rsidP="008D5443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Director of Employment and Health Services</w:t>
      </w:r>
    </w:p>
    <w:p w:rsidR="008D5443" w:rsidRDefault="008D5443" w:rsidP="008D5443">
      <w:pPr>
        <w:rPr>
          <w:rFonts w:ascii="Verdana" w:hAnsi="Verdana"/>
          <w:color w:val="1F497D"/>
          <w:sz w:val="20"/>
          <w:szCs w:val="20"/>
        </w:rPr>
      </w:pPr>
    </w:p>
    <w:p w:rsidR="008D5443" w:rsidRDefault="008D5443" w:rsidP="008D5443">
      <w:pPr>
        <w:pBdr>
          <w:bottom w:val="outset" w:sz="6" w:space="1" w:color="auto"/>
          <w:between w:val="outset" w:sz="6" w:space="1" w:color="auto"/>
        </w:pBdr>
        <w:rPr>
          <w:rFonts w:ascii="Verdana" w:hAnsi="Verdana"/>
          <w:color w:val="1F497D"/>
          <w:sz w:val="20"/>
          <w:szCs w:val="20"/>
        </w:rPr>
      </w:pPr>
    </w:p>
    <w:p w:rsidR="008D5443" w:rsidRDefault="008D5443" w:rsidP="008D5443">
      <w:pPr>
        <w:rPr>
          <w:rFonts w:ascii="Verdana" w:hAnsi="Verdana"/>
          <w:color w:val="1F497D"/>
          <w:sz w:val="20"/>
          <w:szCs w:val="20"/>
        </w:rPr>
      </w:pPr>
    </w:p>
    <w:p w:rsidR="008D5443" w:rsidRDefault="008D5443" w:rsidP="008D5443">
      <w:pPr>
        <w:rPr>
          <w:rFonts w:ascii="Verdana" w:hAnsi="Verdana"/>
          <w:color w:val="1F497D"/>
          <w:sz w:val="20"/>
          <w:szCs w:val="20"/>
        </w:rPr>
      </w:pPr>
    </w:p>
    <w:p w:rsid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 xml:space="preserve">Diane Beastrom made a </w:t>
      </w:r>
      <w:r>
        <w:rPr>
          <w:rFonts w:eastAsia="Times New Roman"/>
        </w:rPr>
        <w:t>motion</w:t>
      </w:r>
      <w:r>
        <w:rPr>
          <w:rFonts w:eastAsia="Times New Roman"/>
        </w:rPr>
        <w:t xml:space="preserve"> to approve OPRA’s support for </w:t>
      </w:r>
      <w:r>
        <w:rPr>
          <w:rFonts w:eastAsia="Times New Roman"/>
        </w:rPr>
        <w:t>the alternate NMT proposal as presented</w:t>
      </w:r>
      <w:r>
        <w:rPr>
          <w:rFonts w:eastAsia="Times New Roman"/>
        </w:rPr>
        <w:t>.  Jerri Elson seconded the motion.  The following votes were cast via email:</w:t>
      </w:r>
    </w:p>
    <w:p w:rsidR="008D5443" w:rsidRDefault="008D5443" w:rsidP="008D5443">
      <w:pPr>
        <w:rPr>
          <w:rFonts w:eastAsia="Times New Roman"/>
        </w:rPr>
      </w:pPr>
    </w:p>
    <w:p w:rsidR="008D5443" w:rsidRP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>Mary Thompson-Hufford</w:t>
      </w:r>
      <w:r w:rsidRPr="008D5443">
        <w:rPr>
          <w:rFonts w:eastAsia="Times New Roman"/>
        </w:rPr>
        <w:t xml:space="preserve"> - YES</w:t>
      </w:r>
    </w:p>
    <w:p w:rsidR="008D5443" w:rsidRP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>Bill Ullman</w:t>
      </w:r>
      <w:r w:rsidRPr="008D5443">
        <w:rPr>
          <w:rFonts w:eastAsia="Times New Roman"/>
        </w:rPr>
        <w:t xml:space="preserve"> – YES</w:t>
      </w:r>
    </w:p>
    <w:p w:rsid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>Melanie Kasten-Krause</w:t>
      </w:r>
      <w:r w:rsidRPr="008D5443">
        <w:rPr>
          <w:rFonts w:eastAsia="Times New Roman"/>
        </w:rPr>
        <w:t xml:space="preserve"> – YES</w:t>
      </w:r>
    </w:p>
    <w:p w:rsidR="008D5443" w:rsidRDefault="008D5443" w:rsidP="008D5443">
      <w:pPr>
        <w:rPr>
          <w:rFonts w:eastAsia="Times New Roman"/>
        </w:rPr>
      </w:pPr>
      <w:r>
        <w:rPr>
          <w:rFonts w:eastAsia="Times New Roman"/>
        </w:rPr>
        <w:t>Bob Gaston</w:t>
      </w:r>
      <w:r>
        <w:rPr>
          <w:rFonts w:eastAsia="Times New Roman"/>
        </w:rPr>
        <w:t xml:space="preserve"> – YES</w:t>
      </w:r>
    </w:p>
    <w:p w:rsidR="008D5443" w:rsidRDefault="008D5443" w:rsidP="008D5443">
      <w:pPr>
        <w:rPr>
          <w:rFonts w:eastAsia="Times New Roman"/>
        </w:rPr>
      </w:pPr>
      <w:r>
        <w:rPr>
          <w:rFonts w:eastAsia="Times New Roman"/>
        </w:rPr>
        <w:t>Lisa Reed – YES</w:t>
      </w:r>
    </w:p>
    <w:p w:rsidR="008D5443" w:rsidRP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>Patrick Maynard</w:t>
      </w:r>
      <w:r w:rsidRPr="008D5443">
        <w:rPr>
          <w:rFonts w:eastAsia="Times New Roman"/>
        </w:rPr>
        <w:t xml:space="preserve"> – YES</w:t>
      </w:r>
    </w:p>
    <w:p w:rsidR="008D5443" w:rsidRP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>Bob Heinzerling – YES</w:t>
      </w:r>
    </w:p>
    <w:p w:rsidR="008D5443" w:rsidRP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>Adam Guinther – YES</w:t>
      </w:r>
    </w:p>
    <w:p w:rsidR="008D5443" w:rsidRPr="008D5443" w:rsidRDefault="008D5443" w:rsidP="008D5443">
      <w:pPr>
        <w:rPr>
          <w:rFonts w:eastAsia="Times New Roman"/>
        </w:rPr>
      </w:pPr>
    </w:p>
    <w:p w:rsidR="008D5443" w:rsidRPr="008D5443" w:rsidRDefault="008D5443" w:rsidP="008D5443">
      <w:pPr>
        <w:rPr>
          <w:rFonts w:eastAsia="Times New Roman"/>
        </w:rPr>
      </w:pPr>
    </w:p>
    <w:p w:rsidR="008D5443" w:rsidRPr="008D5443" w:rsidRDefault="008D5443" w:rsidP="008D5443">
      <w:pPr>
        <w:rPr>
          <w:rFonts w:eastAsia="Times New Roman"/>
        </w:rPr>
      </w:pPr>
      <w:r w:rsidRPr="008D5443">
        <w:rPr>
          <w:rFonts w:eastAsia="Times New Roman"/>
        </w:rPr>
        <w:t xml:space="preserve"> </w:t>
      </w:r>
    </w:p>
    <w:p w:rsidR="008D5443" w:rsidRDefault="008D5443" w:rsidP="008D5443"/>
    <w:p w:rsidR="00FF2681" w:rsidRDefault="00FF2681"/>
    <w:sectPr w:rsidR="00FF2681" w:rsidSect="008D5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8DA"/>
    <w:multiLevelType w:val="hybridMultilevel"/>
    <w:tmpl w:val="0880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64F7"/>
    <w:multiLevelType w:val="hybridMultilevel"/>
    <w:tmpl w:val="1F3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C35C2"/>
    <w:multiLevelType w:val="hybridMultilevel"/>
    <w:tmpl w:val="3FE0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43"/>
    <w:rsid w:val="000F0CB8"/>
    <w:rsid w:val="008D5443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7B2C"/>
  <w15:chartTrackingRefBased/>
  <w15:docId w15:val="{58C25417-8051-47C1-BC1D-8283025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43"/>
    <w:pPr>
      <w:widowControl/>
      <w:spacing w:after="0" w:line="240" w:lineRule="auto"/>
    </w:pPr>
    <w:rPr>
      <w:rFonts w:ascii="Calibri" w:hAnsi="Calibri" w:cs="Calibri"/>
    </w:rPr>
  </w:style>
  <w:style w:type="paragraph" w:styleId="Heading3">
    <w:name w:val="heading 3"/>
    <w:link w:val="Heading3Char"/>
    <w:uiPriority w:val="9"/>
    <w:qFormat/>
    <w:rsid w:val="000F0CB8"/>
    <w:pPr>
      <w:widowControl/>
      <w:spacing w:after="0" w:line="240" w:lineRule="auto"/>
      <w:outlineLvl w:val="2"/>
    </w:pPr>
    <w:rPr>
      <w:rFonts w:ascii="Comic Sans MS" w:eastAsia="Times New Roman" w:hAnsi="Comic Sans MS" w:cs="Times New Roman"/>
      <w:b/>
      <w:bCs/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CB8"/>
    <w:rPr>
      <w:rFonts w:ascii="Comic Sans MS" w:eastAsia="Times New Roman" w:hAnsi="Comic Sans MS" w:cs="Times New Roman"/>
      <w:b/>
      <w:bCs/>
      <w:color w:val="000080"/>
      <w:kern w:val="28"/>
    </w:rPr>
  </w:style>
  <w:style w:type="paragraph" w:styleId="ListParagraph">
    <w:name w:val="List Paragraph"/>
    <w:basedOn w:val="Normal"/>
    <w:uiPriority w:val="34"/>
    <w:qFormat/>
    <w:rsid w:val="000F0CB8"/>
    <w:pPr>
      <w:ind w:left="720"/>
      <w:contextualSpacing/>
    </w:pPr>
  </w:style>
  <w:style w:type="paragraph" w:customStyle="1" w:styleId="Default">
    <w:name w:val="Default"/>
    <w:basedOn w:val="Normal"/>
    <w:rsid w:val="008D5443"/>
    <w:pPr>
      <w:autoSpaceDE w:val="0"/>
      <w:autoSpaceDN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44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4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Reed</dc:creator>
  <cp:keywords/>
  <dc:description/>
  <cp:lastModifiedBy>Lisa Reed</cp:lastModifiedBy>
  <cp:revision>1</cp:revision>
  <dcterms:created xsi:type="dcterms:W3CDTF">2019-04-07T23:07:00Z</dcterms:created>
  <dcterms:modified xsi:type="dcterms:W3CDTF">2019-04-07T23:17:00Z</dcterms:modified>
</cp:coreProperties>
</file>