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7A6F" w14:textId="7153073D" w:rsidR="00BE7CB1" w:rsidRDefault="00BE7CB1" w:rsidP="00BE7CB1">
      <w:pPr>
        <w:spacing w:after="200" w:line="240" w:lineRule="auto"/>
        <w:rPr>
          <w:rFonts w:cstheme="minorHAnsi"/>
          <w:b/>
          <w:bCs/>
          <w:sz w:val="24"/>
          <w:szCs w:val="24"/>
        </w:rPr>
      </w:pPr>
      <w:r>
        <w:rPr>
          <w:rFonts w:cstheme="minorHAnsi"/>
          <w:b/>
          <w:bCs/>
          <w:sz w:val="24"/>
          <w:szCs w:val="24"/>
        </w:rPr>
        <w:t xml:space="preserve">DODD </w:t>
      </w:r>
      <w:r w:rsidRPr="00BE7CB1">
        <w:rPr>
          <w:rFonts w:cstheme="minorHAnsi"/>
          <w:b/>
          <w:bCs/>
          <w:sz w:val="24"/>
          <w:szCs w:val="24"/>
        </w:rPr>
        <w:t>Pre-Vocational and Group Employment Supports Proposal</w:t>
      </w:r>
      <w:r>
        <w:rPr>
          <w:rFonts w:cstheme="minorHAnsi"/>
          <w:b/>
          <w:bCs/>
          <w:sz w:val="24"/>
          <w:szCs w:val="24"/>
        </w:rPr>
        <w:t xml:space="preserve">, </w:t>
      </w:r>
      <w:r w:rsidRPr="00BE7CB1">
        <w:rPr>
          <w:rFonts w:cstheme="minorHAnsi"/>
          <w:b/>
          <w:bCs/>
          <w:sz w:val="24"/>
          <w:szCs w:val="24"/>
        </w:rPr>
        <w:t>December 2023</w:t>
      </w:r>
    </w:p>
    <w:p w14:paraId="17FBBE01" w14:textId="04EAE0A0" w:rsidR="00337DAC" w:rsidRDefault="523088DF" w:rsidP="0859B78F">
      <w:pPr>
        <w:spacing w:after="200" w:line="276" w:lineRule="auto"/>
        <w:rPr>
          <w:sz w:val="24"/>
          <w:szCs w:val="24"/>
        </w:rPr>
      </w:pPr>
      <w:r w:rsidRPr="0859B78F">
        <w:rPr>
          <w:b/>
          <w:bCs/>
          <w:sz w:val="24"/>
          <w:szCs w:val="24"/>
        </w:rPr>
        <w:t>Level</w:t>
      </w:r>
      <w:r w:rsidR="4B868EC7" w:rsidRPr="0859B78F">
        <w:rPr>
          <w:b/>
          <w:bCs/>
          <w:sz w:val="24"/>
          <w:szCs w:val="24"/>
        </w:rPr>
        <w:t>-s</w:t>
      </w:r>
      <w:r w:rsidRPr="0859B78F">
        <w:rPr>
          <w:b/>
          <w:bCs/>
          <w:sz w:val="24"/>
          <w:szCs w:val="24"/>
        </w:rPr>
        <w:t xml:space="preserve">et:  </w:t>
      </w:r>
      <w:r w:rsidR="0F82D8FA" w:rsidRPr="0859B78F">
        <w:rPr>
          <w:sz w:val="24"/>
          <w:szCs w:val="24"/>
        </w:rPr>
        <w:t>Our main goal is d</w:t>
      </w:r>
      <w:r w:rsidRPr="0859B78F">
        <w:rPr>
          <w:sz w:val="24"/>
          <w:szCs w:val="24"/>
        </w:rPr>
        <w:t xml:space="preserve">eveloping a successful pathway to Community Integrated Employment </w:t>
      </w:r>
      <w:r w:rsidR="00BA4C14">
        <w:rPr>
          <w:sz w:val="24"/>
          <w:szCs w:val="24"/>
        </w:rPr>
        <w:t>(</w:t>
      </w:r>
      <w:r w:rsidRPr="0859B78F">
        <w:rPr>
          <w:sz w:val="24"/>
          <w:szCs w:val="24"/>
        </w:rPr>
        <w:t>CIE</w:t>
      </w:r>
      <w:r w:rsidR="00BA4C14">
        <w:rPr>
          <w:sz w:val="24"/>
          <w:szCs w:val="24"/>
        </w:rPr>
        <w:t>)</w:t>
      </w:r>
      <w:r w:rsidRPr="0859B78F">
        <w:rPr>
          <w:sz w:val="24"/>
          <w:szCs w:val="24"/>
        </w:rPr>
        <w:t xml:space="preserve"> for people with developmental disabilities in Ohio, while ensuring quality non-work services and vocational possibilities for people not interested in CIE.</w:t>
      </w:r>
    </w:p>
    <w:p w14:paraId="74AA9883" w14:textId="77777777" w:rsidR="00BE7CB1" w:rsidRDefault="00BE7CB1" w:rsidP="00337DAC">
      <w:pPr>
        <w:spacing w:after="200" w:line="276" w:lineRule="auto"/>
        <w:rPr>
          <w:rFonts w:cstheme="minorHAnsi"/>
          <w:sz w:val="24"/>
          <w:szCs w:val="24"/>
        </w:rPr>
      </w:pPr>
      <w:r>
        <w:rPr>
          <w:rFonts w:cstheme="minorHAnsi"/>
          <w:sz w:val="24"/>
          <w:szCs w:val="24"/>
        </w:rPr>
        <w:t>To that end, t</w:t>
      </w:r>
      <w:r w:rsidRPr="00BE7CB1">
        <w:rPr>
          <w:rFonts w:cstheme="minorHAnsi"/>
          <w:sz w:val="24"/>
          <w:szCs w:val="24"/>
        </w:rPr>
        <w:t xml:space="preserve">he Blueprint for Adult Day and Employment Services Work Group convened from January 2020 to May 2021 with the purpose of improving adult day support services, transportation services, and strengthening competitive, integrated employment outcomes for people with developmental disabilities throughout Ohio.  </w:t>
      </w:r>
    </w:p>
    <w:p w14:paraId="6023B384" w14:textId="74DE0439" w:rsidR="00BE7CB1" w:rsidRPr="00BE7CB1" w:rsidRDefault="00BE7CB1" w:rsidP="00337DAC">
      <w:pPr>
        <w:spacing w:after="200" w:line="276" w:lineRule="auto"/>
        <w:rPr>
          <w:rFonts w:cstheme="minorHAnsi"/>
          <w:sz w:val="24"/>
          <w:szCs w:val="24"/>
        </w:rPr>
      </w:pPr>
      <w:r>
        <w:rPr>
          <w:rFonts w:cstheme="minorHAnsi"/>
          <w:sz w:val="24"/>
          <w:szCs w:val="24"/>
        </w:rPr>
        <w:t>Since the proposal was enacted in</w:t>
      </w:r>
      <w:r w:rsidRPr="00BE7CB1">
        <w:rPr>
          <w:rFonts w:cstheme="minorHAnsi"/>
          <w:sz w:val="24"/>
          <w:szCs w:val="24"/>
        </w:rPr>
        <w:t xml:space="preserve"> 2021</w:t>
      </w:r>
      <w:r>
        <w:rPr>
          <w:rFonts w:cstheme="minorHAnsi"/>
          <w:sz w:val="24"/>
          <w:szCs w:val="24"/>
        </w:rPr>
        <w:t>:</w:t>
      </w:r>
    </w:p>
    <w:p w14:paraId="12076E99" w14:textId="7EEBF232" w:rsidR="00BE7CB1" w:rsidRPr="00BE7CB1" w:rsidRDefault="00BE7CB1" w:rsidP="00BE7CB1">
      <w:pPr>
        <w:pStyle w:val="ListParagraph"/>
        <w:numPr>
          <w:ilvl w:val="0"/>
          <w:numId w:val="9"/>
        </w:numPr>
        <w:spacing w:after="200" w:line="276" w:lineRule="auto"/>
        <w:rPr>
          <w:rFonts w:cstheme="minorHAnsi"/>
          <w:sz w:val="24"/>
          <w:szCs w:val="24"/>
        </w:rPr>
      </w:pPr>
      <w:r w:rsidRPr="00BE7CB1">
        <w:rPr>
          <w:rFonts w:cstheme="minorHAnsi"/>
          <w:sz w:val="24"/>
          <w:szCs w:val="24"/>
        </w:rPr>
        <w:t>Creation of a new self-directed transportation service.</w:t>
      </w:r>
    </w:p>
    <w:p w14:paraId="1B0AC1DF" w14:textId="2367F53B" w:rsidR="00BE7CB1" w:rsidRPr="009A1A93" w:rsidRDefault="0F82D8FA" w:rsidP="0859B78F">
      <w:pPr>
        <w:pStyle w:val="ListParagraph"/>
        <w:numPr>
          <w:ilvl w:val="0"/>
          <w:numId w:val="9"/>
        </w:numPr>
        <w:spacing w:after="200" w:line="276" w:lineRule="auto"/>
        <w:rPr>
          <w:sz w:val="24"/>
          <w:szCs w:val="24"/>
        </w:rPr>
      </w:pPr>
      <w:r w:rsidRPr="0859B78F">
        <w:rPr>
          <w:sz w:val="24"/>
          <w:szCs w:val="24"/>
        </w:rPr>
        <w:t xml:space="preserve">Collaboration with system finance and rate experts, along with other state agencies and stakeholders to make necessary changes to the </w:t>
      </w:r>
      <w:r w:rsidRPr="009A1A93">
        <w:rPr>
          <w:sz w:val="24"/>
          <w:szCs w:val="24"/>
        </w:rPr>
        <w:t xml:space="preserve">financial system. </w:t>
      </w:r>
    </w:p>
    <w:p w14:paraId="19F83FCC" w14:textId="75040B5C" w:rsidR="223BEB4D" w:rsidRPr="009A1A93" w:rsidRDefault="223BEB4D" w:rsidP="0859B78F">
      <w:pPr>
        <w:pStyle w:val="ListParagraph"/>
        <w:numPr>
          <w:ilvl w:val="0"/>
          <w:numId w:val="9"/>
        </w:numPr>
        <w:spacing w:after="200" w:line="276" w:lineRule="auto"/>
        <w:rPr>
          <w:rFonts w:ascii="Source Sans Pro" w:eastAsia="Source Sans Pro" w:hAnsi="Source Sans Pro" w:cs="Source Sans Pro"/>
          <w:color w:val="4A4A4A"/>
          <w:sz w:val="24"/>
          <w:szCs w:val="24"/>
        </w:rPr>
      </w:pPr>
      <w:r w:rsidRPr="009A1A93">
        <w:rPr>
          <w:sz w:val="24"/>
          <w:szCs w:val="24"/>
        </w:rPr>
        <w:t xml:space="preserve">Historical investments made to </w:t>
      </w:r>
      <w:r w:rsidRPr="009A1A93">
        <w:rPr>
          <w:rFonts w:ascii="Source Sans Pro" w:eastAsia="Source Sans Pro" w:hAnsi="Source Sans Pro" w:cs="Source Sans Pro"/>
          <w:color w:val="4A4A4A"/>
          <w:sz w:val="24"/>
          <w:szCs w:val="24"/>
        </w:rPr>
        <w:t>Home and Community-Based Services (HBCS) rates that support DSPs</w:t>
      </w:r>
      <w:r w:rsidR="3A2C6704" w:rsidRPr="009A1A93">
        <w:rPr>
          <w:rFonts w:ascii="Source Sans Pro" w:eastAsia="Source Sans Pro" w:hAnsi="Source Sans Pro" w:cs="Source Sans Pro"/>
          <w:color w:val="4A4A4A"/>
          <w:sz w:val="24"/>
          <w:szCs w:val="24"/>
        </w:rPr>
        <w:t xml:space="preserve">, which </w:t>
      </w:r>
      <w:r w:rsidRPr="009A1A93">
        <w:rPr>
          <w:rFonts w:ascii="Source Sans Pro" w:eastAsia="Source Sans Pro" w:hAnsi="Source Sans Pro" w:cs="Source Sans Pro"/>
          <w:color w:val="4A4A4A"/>
          <w:sz w:val="24"/>
          <w:szCs w:val="24"/>
        </w:rPr>
        <w:t>are the largest in the history of Ohio’s DD system</w:t>
      </w:r>
      <w:r w:rsidR="2DCE572B" w:rsidRPr="009A1A93">
        <w:rPr>
          <w:rFonts w:ascii="Source Sans Pro" w:eastAsia="Source Sans Pro" w:hAnsi="Source Sans Pro" w:cs="Source Sans Pro"/>
          <w:color w:val="4A4A4A"/>
          <w:sz w:val="24"/>
          <w:szCs w:val="24"/>
        </w:rPr>
        <w:t xml:space="preserve">. Employment and day services were included. </w:t>
      </w:r>
    </w:p>
    <w:p w14:paraId="2C51512C" w14:textId="77777777" w:rsidR="00BE7CB1" w:rsidRPr="00BE7CB1" w:rsidRDefault="0F82D8FA" w:rsidP="00BE7CB1">
      <w:pPr>
        <w:pStyle w:val="ListParagraph"/>
        <w:numPr>
          <w:ilvl w:val="0"/>
          <w:numId w:val="9"/>
        </w:numPr>
        <w:spacing w:after="200" w:line="276" w:lineRule="auto"/>
        <w:rPr>
          <w:rFonts w:cstheme="minorHAnsi"/>
          <w:sz w:val="24"/>
          <w:szCs w:val="24"/>
        </w:rPr>
      </w:pPr>
      <w:r w:rsidRPr="0859B78F">
        <w:rPr>
          <w:sz w:val="24"/>
          <w:szCs w:val="24"/>
        </w:rPr>
        <w:t xml:space="preserve">Development of statewide training specific to the transition from school to adulthood, all adult day array services including transportation, and supportive technology </w:t>
      </w:r>
    </w:p>
    <w:p w14:paraId="01A112D7" w14:textId="178877C0" w:rsidR="00BE7CB1" w:rsidRPr="00BE7CB1" w:rsidRDefault="0F82D8FA" w:rsidP="00BE7CB1">
      <w:pPr>
        <w:pStyle w:val="ListParagraph"/>
        <w:numPr>
          <w:ilvl w:val="0"/>
          <w:numId w:val="9"/>
        </w:numPr>
        <w:spacing w:after="200" w:line="276" w:lineRule="auto"/>
        <w:rPr>
          <w:rFonts w:cstheme="minorHAnsi"/>
          <w:sz w:val="24"/>
          <w:szCs w:val="24"/>
        </w:rPr>
      </w:pPr>
      <w:r w:rsidRPr="0859B78F">
        <w:rPr>
          <w:sz w:val="24"/>
          <w:szCs w:val="24"/>
        </w:rPr>
        <w:t xml:space="preserve">Research of how to use services available in the traditional Medicaid service plan to bridge potential gaps in the waiver service delivery system  </w:t>
      </w:r>
    </w:p>
    <w:p w14:paraId="45CDBA36" w14:textId="6DAB4FDD" w:rsidR="00337DAC" w:rsidRPr="00BE7CB1" w:rsidRDefault="523088DF" w:rsidP="00BE7CB1">
      <w:pPr>
        <w:pStyle w:val="ListParagraph"/>
        <w:numPr>
          <w:ilvl w:val="0"/>
          <w:numId w:val="9"/>
        </w:numPr>
        <w:spacing w:after="200" w:line="276" w:lineRule="auto"/>
        <w:rPr>
          <w:rFonts w:cstheme="minorHAnsi"/>
          <w:sz w:val="24"/>
          <w:szCs w:val="24"/>
        </w:rPr>
      </w:pPr>
      <w:r w:rsidRPr="0859B78F">
        <w:rPr>
          <w:sz w:val="24"/>
          <w:szCs w:val="24"/>
        </w:rPr>
        <w:t>Currently implementing an ADS Quality Pilot Program for 100 providers to build capacity to provide quality non-work supports with a focus on people with significant needs.</w:t>
      </w:r>
    </w:p>
    <w:p w14:paraId="1261E28D" w14:textId="400986EB" w:rsidR="00337DAC" w:rsidRPr="00BE7CB1" w:rsidRDefault="0F82D8FA" w:rsidP="00BE7CB1">
      <w:pPr>
        <w:pStyle w:val="ListParagraph"/>
        <w:numPr>
          <w:ilvl w:val="0"/>
          <w:numId w:val="9"/>
        </w:numPr>
        <w:spacing w:after="200" w:line="276" w:lineRule="auto"/>
        <w:rPr>
          <w:rFonts w:cstheme="minorHAnsi"/>
          <w:sz w:val="24"/>
          <w:szCs w:val="24"/>
        </w:rPr>
      </w:pPr>
      <w:r w:rsidRPr="0859B78F">
        <w:rPr>
          <w:sz w:val="24"/>
          <w:szCs w:val="24"/>
        </w:rPr>
        <w:t>Working with Opportunities for Ohioans with Disabilities on a 5-year grant project, Works4Me, that supports people who are currently in subminimum wage employment to move to CIE.</w:t>
      </w:r>
    </w:p>
    <w:p w14:paraId="64968D86" w14:textId="4335081D" w:rsidR="00BE7CB1" w:rsidRPr="00BE7CB1" w:rsidRDefault="0F82D8FA" w:rsidP="00BE7CB1">
      <w:pPr>
        <w:pStyle w:val="ListParagraph"/>
        <w:numPr>
          <w:ilvl w:val="0"/>
          <w:numId w:val="9"/>
        </w:numPr>
        <w:spacing w:after="200" w:line="276" w:lineRule="auto"/>
        <w:rPr>
          <w:rFonts w:cstheme="minorHAnsi"/>
          <w:sz w:val="24"/>
          <w:szCs w:val="24"/>
        </w:rPr>
      </w:pPr>
      <w:r w:rsidRPr="0859B78F">
        <w:rPr>
          <w:sz w:val="24"/>
          <w:szCs w:val="24"/>
        </w:rPr>
        <w:t>Establishing an Employment Services Readiness Program to fund training and capacity-building opportunities for HCBS Waiver Employment Services providers.</w:t>
      </w:r>
    </w:p>
    <w:p w14:paraId="377A966A" w14:textId="21FB5955" w:rsidR="00BE7CB1" w:rsidRPr="00BE7CB1" w:rsidRDefault="0F82D8FA" w:rsidP="00BE7CB1">
      <w:pPr>
        <w:pStyle w:val="ListParagraph"/>
        <w:numPr>
          <w:ilvl w:val="0"/>
          <w:numId w:val="9"/>
        </w:numPr>
        <w:spacing w:after="200" w:line="276" w:lineRule="auto"/>
        <w:rPr>
          <w:rFonts w:cstheme="minorHAnsi"/>
          <w:sz w:val="24"/>
          <w:szCs w:val="24"/>
        </w:rPr>
      </w:pPr>
      <w:r w:rsidRPr="0859B78F">
        <w:rPr>
          <w:sz w:val="24"/>
          <w:szCs w:val="24"/>
        </w:rPr>
        <w:t>Amending HCBS Waiver Individual Employment Services and Career Planning Services</w:t>
      </w:r>
      <w:r w:rsidR="00DE3A49">
        <w:rPr>
          <w:sz w:val="24"/>
          <w:szCs w:val="24"/>
        </w:rPr>
        <w:t xml:space="preserve"> </w:t>
      </w:r>
      <w:r w:rsidRPr="0859B78F">
        <w:rPr>
          <w:sz w:val="24"/>
          <w:szCs w:val="24"/>
        </w:rPr>
        <w:t>to include quality-incentive payments.</w:t>
      </w:r>
    </w:p>
    <w:p w14:paraId="59714B7A" w14:textId="0C59C351" w:rsidR="00337DAC" w:rsidRPr="00BE7CB1" w:rsidRDefault="0F82D8FA" w:rsidP="0859B78F">
      <w:pPr>
        <w:pStyle w:val="ListParagraph"/>
        <w:numPr>
          <w:ilvl w:val="0"/>
          <w:numId w:val="9"/>
        </w:numPr>
        <w:spacing w:after="200" w:line="276" w:lineRule="auto"/>
        <w:rPr>
          <w:sz w:val="24"/>
          <w:szCs w:val="24"/>
        </w:rPr>
      </w:pPr>
      <w:r w:rsidRPr="0859B78F">
        <w:rPr>
          <w:sz w:val="24"/>
          <w:szCs w:val="24"/>
        </w:rPr>
        <w:t>Developing new NMT rates specific to CIE for</w:t>
      </w:r>
      <w:r w:rsidR="00DE3A49">
        <w:rPr>
          <w:sz w:val="24"/>
          <w:szCs w:val="24"/>
        </w:rPr>
        <w:t xml:space="preserve"> </w:t>
      </w:r>
      <w:r w:rsidRPr="0859B78F">
        <w:rPr>
          <w:sz w:val="24"/>
          <w:szCs w:val="24"/>
        </w:rPr>
        <w:t>waiver</w:t>
      </w:r>
      <w:r w:rsidR="00DE3A49">
        <w:rPr>
          <w:sz w:val="24"/>
          <w:szCs w:val="24"/>
        </w:rPr>
        <w:t xml:space="preserve"> </w:t>
      </w:r>
      <w:r w:rsidRPr="0859B78F">
        <w:rPr>
          <w:sz w:val="24"/>
          <w:szCs w:val="24"/>
        </w:rPr>
        <w:t>ame</w:t>
      </w:r>
      <w:r w:rsidR="4B868EC7" w:rsidRPr="0859B78F">
        <w:rPr>
          <w:sz w:val="24"/>
          <w:szCs w:val="24"/>
        </w:rPr>
        <w:t>n</w:t>
      </w:r>
      <w:r w:rsidRPr="0859B78F">
        <w:rPr>
          <w:sz w:val="24"/>
          <w:szCs w:val="24"/>
        </w:rPr>
        <w:t>dment</w:t>
      </w:r>
    </w:p>
    <w:p w14:paraId="6A44B42F" w14:textId="08FA7948" w:rsidR="00207433" w:rsidRPr="00BE7CB1" w:rsidRDefault="7A4057BD" w:rsidP="0859B78F">
      <w:pPr>
        <w:spacing w:after="200" w:line="276" w:lineRule="auto"/>
        <w:rPr>
          <w:sz w:val="24"/>
          <w:szCs w:val="24"/>
        </w:rPr>
      </w:pPr>
      <w:r w:rsidRPr="0859B78F">
        <w:rPr>
          <w:sz w:val="24"/>
          <w:szCs w:val="24"/>
        </w:rPr>
        <w:lastRenderedPageBreak/>
        <w:t xml:space="preserve">Training and Technical Assistance is provided via the </w:t>
      </w:r>
      <w:hyperlink r:id="rId7" w:history="1">
        <w:r w:rsidRPr="0859B78F">
          <w:rPr>
            <w:rStyle w:val="Hyperlink"/>
            <w:sz w:val="24"/>
            <w:szCs w:val="24"/>
          </w:rPr>
          <w:t>DODD Regional Support Team</w:t>
        </w:r>
      </w:hyperlink>
      <w:r w:rsidRPr="0859B78F">
        <w:rPr>
          <w:sz w:val="24"/>
          <w:szCs w:val="24"/>
        </w:rPr>
        <w:t xml:space="preserve">. The </w:t>
      </w:r>
      <w:proofErr w:type="gramStart"/>
      <w:r w:rsidRPr="0859B78F">
        <w:rPr>
          <w:sz w:val="24"/>
          <w:szCs w:val="24"/>
        </w:rPr>
        <w:t>lead</w:t>
      </w:r>
      <w:proofErr w:type="gramEnd"/>
      <w:r w:rsidRPr="0859B78F">
        <w:rPr>
          <w:sz w:val="24"/>
          <w:szCs w:val="24"/>
        </w:rPr>
        <w:t xml:space="preserve"> teams</w:t>
      </w:r>
      <w:r w:rsidR="337FDA71" w:rsidRPr="0859B78F">
        <w:rPr>
          <w:sz w:val="24"/>
          <w:szCs w:val="24"/>
        </w:rPr>
        <w:t xml:space="preserve"> in collaboration are</w:t>
      </w:r>
      <w:r w:rsidRPr="0859B78F">
        <w:rPr>
          <w:sz w:val="24"/>
          <w:szCs w:val="24"/>
        </w:rPr>
        <w:t xml:space="preserve"> Community Life Engagement and Medicaid Development and Administration. </w:t>
      </w:r>
    </w:p>
    <w:tbl>
      <w:tblPr>
        <w:tblStyle w:val="TableGrid"/>
        <w:tblW w:w="0" w:type="auto"/>
        <w:tblLayout w:type="fixed"/>
        <w:tblLook w:val="06A0" w:firstRow="1" w:lastRow="0" w:firstColumn="1" w:lastColumn="0" w:noHBand="1" w:noVBand="1"/>
      </w:tblPr>
      <w:tblGrid>
        <w:gridCol w:w="2715"/>
        <w:gridCol w:w="5985"/>
        <w:gridCol w:w="5385"/>
      </w:tblGrid>
      <w:tr w:rsidR="0859B78F" w14:paraId="2FAA9046" w14:textId="77777777" w:rsidTr="0859B78F">
        <w:trPr>
          <w:trHeight w:val="300"/>
        </w:trPr>
        <w:tc>
          <w:tcPr>
            <w:tcW w:w="2715" w:type="dxa"/>
          </w:tcPr>
          <w:p w14:paraId="7398717E" w14:textId="0BBB8BDD" w:rsidR="0859B78F" w:rsidRDefault="0859B78F" w:rsidP="0859B78F">
            <w:pPr>
              <w:rPr>
                <w:b/>
                <w:bCs/>
                <w:sz w:val="24"/>
                <w:szCs w:val="24"/>
              </w:rPr>
            </w:pPr>
          </w:p>
        </w:tc>
        <w:tc>
          <w:tcPr>
            <w:tcW w:w="5985" w:type="dxa"/>
          </w:tcPr>
          <w:p w14:paraId="7481AEBE" w14:textId="6BF000C3" w:rsidR="07B1740D" w:rsidRDefault="07B1740D" w:rsidP="0859B78F">
            <w:pPr>
              <w:rPr>
                <w:b/>
                <w:bCs/>
                <w:sz w:val="24"/>
                <w:szCs w:val="24"/>
              </w:rPr>
            </w:pPr>
            <w:r w:rsidRPr="0859B78F">
              <w:rPr>
                <w:b/>
                <w:bCs/>
                <w:sz w:val="24"/>
                <w:szCs w:val="24"/>
              </w:rPr>
              <w:t xml:space="preserve">Vocational Habilitation </w:t>
            </w:r>
          </w:p>
        </w:tc>
        <w:tc>
          <w:tcPr>
            <w:tcW w:w="5385" w:type="dxa"/>
          </w:tcPr>
          <w:p w14:paraId="574E4AF6" w14:textId="2ECDF9F4" w:rsidR="07B1740D" w:rsidRDefault="07B1740D" w:rsidP="0859B78F">
            <w:pPr>
              <w:rPr>
                <w:b/>
                <w:bCs/>
                <w:sz w:val="24"/>
                <w:szCs w:val="24"/>
              </w:rPr>
            </w:pPr>
            <w:r w:rsidRPr="0859B78F">
              <w:rPr>
                <w:b/>
                <w:bCs/>
                <w:sz w:val="24"/>
                <w:szCs w:val="24"/>
              </w:rPr>
              <w:t>Group Employment Supports</w:t>
            </w:r>
          </w:p>
        </w:tc>
      </w:tr>
      <w:tr w:rsidR="0859B78F" w14:paraId="3F379ACB" w14:textId="77777777" w:rsidTr="0859B78F">
        <w:trPr>
          <w:trHeight w:val="6390"/>
        </w:trPr>
        <w:tc>
          <w:tcPr>
            <w:tcW w:w="2715" w:type="dxa"/>
          </w:tcPr>
          <w:p w14:paraId="3F57338D" w14:textId="5405A375" w:rsidR="07B1740D" w:rsidRDefault="07B1740D" w:rsidP="0859B78F">
            <w:pPr>
              <w:rPr>
                <w:b/>
                <w:bCs/>
                <w:sz w:val="24"/>
                <w:szCs w:val="24"/>
              </w:rPr>
            </w:pPr>
            <w:r w:rsidRPr="0859B78F">
              <w:rPr>
                <w:b/>
                <w:bCs/>
                <w:sz w:val="24"/>
                <w:szCs w:val="24"/>
              </w:rPr>
              <w:t>Service Design</w:t>
            </w:r>
          </w:p>
        </w:tc>
        <w:tc>
          <w:tcPr>
            <w:tcW w:w="5985" w:type="dxa"/>
          </w:tcPr>
          <w:p w14:paraId="27E4CE42" w14:textId="388ED7B8" w:rsidR="07B1740D" w:rsidRDefault="07B1740D" w:rsidP="0859B78F">
            <w:pPr>
              <w:rPr>
                <w:b/>
                <w:bCs/>
                <w:sz w:val="24"/>
                <w:szCs w:val="24"/>
              </w:rPr>
            </w:pPr>
            <w:r w:rsidRPr="0859B78F">
              <w:rPr>
                <w:b/>
                <w:bCs/>
                <w:sz w:val="24"/>
                <w:szCs w:val="24"/>
              </w:rPr>
              <w:t>Accept The Basic Employment Skills Training (BEST) Framework as the way forward.</w:t>
            </w:r>
            <w:r w:rsidR="0BD3B813" w:rsidRPr="0859B78F">
              <w:rPr>
                <w:b/>
                <w:bCs/>
                <w:sz w:val="24"/>
                <w:szCs w:val="24"/>
              </w:rPr>
              <w:t xml:space="preserve"> </w:t>
            </w:r>
            <w:r w:rsidR="645A1149" w:rsidRPr="0859B78F">
              <w:rPr>
                <w:b/>
                <w:bCs/>
                <w:sz w:val="24"/>
                <w:szCs w:val="24"/>
              </w:rPr>
              <w:t xml:space="preserve">Waiver Category- Pre-vocational services. </w:t>
            </w:r>
          </w:p>
          <w:p w14:paraId="2788A039" w14:textId="0C52CDB8" w:rsidR="0859B78F" w:rsidRDefault="0859B78F" w:rsidP="0859B78F">
            <w:pPr>
              <w:rPr>
                <w:b/>
                <w:bCs/>
                <w:sz w:val="24"/>
                <w:szCs w:val="24"/>
              </w:rPr>
            </w:pPr>
          </w:p>
          <w:p w14:paraId="2A5DA56F" w14:textId="4CCCFEDB" w:rsidR="50E99EE5" w:rsidRDefault="50E99EE5" w:rsidP="0859B78F">
            <w:pPr>
              <w:tabs>
                <w:tab w:val="left" w:pos="4433"/>
              </w:tabs>
              <w:rPr>
                <w:sz w:val="24"/>
                <w:szCs w:val="24"/>
              </w:rPr>
            </w:pPr>
            <w:r w:rsidRPr="0859B78F">
              <w:rPr>
                <w:sz w:val="24"/>
                <w:szCs w:val="24"/>
              </w:rPr>
              <w:t>Develop new HCBS waiver service to be effective in 2025. The new service is Basic Employment Skills Training (BEST). (Estimated Date: December 2025)</w:t>
            </w:r>
          </w:p>
          <w:p w14:paraId="1BA40E2F" w14:textId="77777777" w:rsidR="0859B78F" w:rsidRDefault="0859B78F" w:rsidP="0859B78F">
            <w:pPr>
              <w:tabs>
                <w:tab w:val="left" w:pos="4433"/>
              </w:tabs>
              <w:rPr>
                <w:sz w:val="24"/>
                <w:szCs w:val="24"/>
              </w:rPr>
            </w:pPr>
          </w:p>
          <w:p w14:paraId="40FBC5AB" w14:textId="167C6247" w:rsidR="00660BAB" w:rsidRDefault="50E99EE5" w:rsidP="00660BAB">
            <w:pPr>
              <w:tabs>
                <w:tab w:val="left" w:pos="4433"/>
              </w:tabs>
              <w:rPr>
                <w:rFonts w:cstheme="minorHAnsi"/>
                <w:sz w:val="24"/>
                <w:szCs w:val="24"/>
              </w:rPr>
            </w:pPr>
            <w:r w:rsidRPr="0859B78F">
              <w:rPr>
                <w:sz w:val="24"/>
                <w:szCs w:val="24"/>
              </w:rPr>
              <w:t>The BEST service will include two tiered requirements for service delivery</w:t>
            </w:r>
            <w:r w:rsidR="00660BAB">
              <w:rPr>
                <w:sz w:val="24"/>
                <w:szCs w:val="24"/>
              </w:rPr>
              <w:t xml:space="preserve"> (from </w:t>
            </w:r>
            <w:r w:rsidR="00660BAB" w:rsidRPr="00804822">
              <w:rPr>
                <w:rFonts w:cstheme="minorHAnsi"/>
              </w:rPr>
              <w:t>5123-9-42</w:t>
            </w:r>
            <w:r w:rsidR="00660BAB">
              <w:rPr>
                <w:rFonts w:cstheme="minorHAnsi"/>
              </w:rPr>
              <w:t>)</w:t>
            </w:r>
            <w:r w:rsidR="00660BAB" w:rsidRPr="00660BAB">
              <w:rPr>
                <w:rFonts w:cstheme="minorHAnsi"/>
                <w:sz w:val="24"/>
                <w:szCs w:val="24"/>
              </w:rPr>
              <w:t>:</w:t>
            </w:r>
          </w:p>
          <w:p w14:paraId="3C26C93F" w14:textId="77777777" w:rsidR="00660BAB" w:rsidRPr="00660BAB" w:rsidRDefault="00660BAB" w:rsidP="00660BAB">
            <w:pPr>
              <w:tabs>
                <w:tab w:val="left" w:pos="4433"/>
              </w:tabs>
              <w:rPr>
                <w:sz w:val="24"/>
                <w:szCs w:val="24"/>
              </w:rPr>
            </w:pPr>
          </w:p>
          <w:p w14:paraId="15DB1394" w14:textId="221DC3FD" w:rsidR="00660BAB" w:rsidRPr="00660BAB" w:rsidRDefault="00660BAB" w:rsidP="00660BAB">
            <w:pPr>
              <w:spacing w:after="200"/>
              <w:rPr>
                <w:rFonts w:cstheme="minorHAnsi"/>
                <w:i/>
                <w:iCs/>
                <w:sz w:val="24"/>
                <w:szCs w:val="24"/>
              </w:rPr>
            </w:pPr>
            <w:r w:rsidRPr="00660BAB">
              <w:rPr>
                <w:rFonts w:cstheme="minorHAnsi"/>
                <w:i/>
                <w:iCs/>
                <w:sz w:val="24"/>
                <w:szCs w:val="24"/>
              </w:rPr>
              <w:t>Tier 1 is available to an individual seeking prevocational services to advance on the path to competitive integrated employment and achieve competitive integrated employment.</w:t>
            </w:r>
          </w:p>
          <w:p w14:paraId="108AE22B" w14:textId="3B0731B7" w:rsidR="00660BAB" w:rsidRDefault="00660BAB" w:rsidP="00660BAB">
            <w:pPr>
              <w:spacing w:after="200"/>
              <w:rPr>
                <w:rFonts w:cstheme="minorHAnsi"/>
                <w:i/>
                <w:iCs/>
                <w:sz w:val="24"/>
                <w:szCs w:val="24"/>
              </w:rPr>
            </w:pPr>
            <w:r w:rsidRPr="00660BAB">
              <w:rPr>
                <w:rFonts w:cstheme="minorHAnsi"/>
                <w:i/>
                <w:iCs/>
                <w:sz w:val="24"/>
                <w:szCs w:val="24"/>
              </w:rPr>
              <w:t>Tier 2 is available only to an individual who, on the day immediately prior to the effective date of this rule, was at least fifty years of age and authorized to receive vocational habilitation.</w:t>
            </w:r>
          </w:p>
          <w:p w14:paraId="2676B0BB" w14:textId="034822D9" w:rsidR="00347727" w:rsidRPr="00347727" w:rsidRDefault="00E93284" w:rsidP="00660BAB">
            <w:pPr>
              <w:spacing w:after="200"/>
              <w:rPr>
                <w:rFonts w:cstheme="minorHAnsi"/>
                <w:sz w:val="24"/>
                <w:szCs w:val="24"/>
              </w:rPr>
            </w:pPr>
            <w:r>
              <w:rPr>
                <w:rFonts w:cstheme="minorHAnsi"/>
                <w:sz w:val="24"/>
                <w:szCs w:val="24"/>
              </w:rPr>
              <w:t>(</w:t>
            </w:r>
            <w:r w:rsidR="00347727">
              <w:rPr>
                <w:rFonts w:cstheme="minorHAnsi"/>
                <w:sz w:val="24"/>
                <w:szCs w:val="24"/>
              </w:rPr>
              <w:t xml:space="preserve">Please </w:t>
            </w:r>
            <w:r>
              <w:rPr>
                <w:rFonts w:cstheme="minorHAnsi"/>
                <w:sz w:val="24"/>
                <w:szCs w:val="24"/>
              </w:rPr>
              <w:t>consult Rule Draft 5123-9-42 for more detail and information…)</w:t>
            </w:r>
          </w:p>
          <w:p w14:paraId="75405831" w14:textId="4F592DD4" w:rsidR="009A1A93" w:rsidRDefault="009A1A93" w:rsidP="00660BAB">
            <w:pPr>
              <w:rPr>
                <w:sz w:val="24"/>
                <w:szCs w:val="24"/>
              </w:rPr>
            </w:pPr>
            <w:r w:rsidRPr="0859B78F">
              <w:rPr>
                <w:sz w:val="24"/>
                <w:szCs w:val="24"/>
              </w:rPr>
              <w:t>The plan must identify the person’s outcomes, the general skills intended to be obtained through Basic Employment Skills Training Service, where those services will be delivered, and when they will be reviewed.</w:t>
            </w:r>
            <w:r w:rsidR="00660BAB">
              <w:rPr>
                <w:sz w:val="24"/>
                <w:szCs w:val="24"/>
              </w:rPr>
              <w:t xml:space="preserve">  </w:t>
            </w:r>
            <w:r w:rsidRPr="0859B78F">
              <w:rPr>
                <w:sz w:val="24"/>
                <w:szCs w:val="24"/>
              </w:rPr>
              <w:t xml:space="preserve">Basic Employment Skills Training may only be authorized for </w:t>
            </w:r>
            <w:r w:rsidRPr="0859B78F">
              <w:rPr>
                <w:sz w:val="24"/>
                <w:szCs w:val="24"/>
              </w:rPr>
              <w:lastRenderedPageBreak/>
              <w:t>people who express an interest in obtaining competitive, integrated employment.</w:t>
            </w:r>
          </w:p>
          <w:p w14:paraId="0082CFFC" w14:textId="77777777" w:rsidR="00E93284" w:rsidRDefault="00E93284" w:rsidP="00F86989">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610A1E18" w14:textId="53A51E28" w:rsidR="00CF0DA4" w:rsidRPr="00CF0DA4" w:rsidRDefault="00CF0DA4" w:rsidP="00F86989">
            <w:pPr>
              <w:pStyle w:val="paragraph"/>
              <w:spacing w:before="0" w:beforeAutospacing="0" w:after="0" w:afterAutospacing="0"/>
              <w:textAlignment w:val="baseline"/>
              <w:rPr>
                <w:rStyle w:val="normaltextrun"/>
                <w:rFonts w:asciiTheme="minorHAnsi" w:hAnsiTheme="minorHAnsi" w:cstheme="minorHAnsi"/>
                <w:color w:val="000000" w:themeColor="text1"/>
              </w:rPr>
            </w:pPr>
            <w:r w:rsidRPr="00CF0DA4">
              <w:rPr>
                <w:rStyle w:val="normaltextrun"/>
                <w:rFonts w:asciiTheme="minorHAnsi" w:hAnsiTheme="minorHAnsi" w:cstheme="minorHAnsi"/>
                <w:color w:val="000000" w:themeColor="text1"/>
              </w:rPr>
              <w:t>Language from revised rule</w:t>
            </w:r>
            <w:r w:rsidR="00804822" w:rsidRPr="00804822">
              <w:rPr>
                <w:rStyle w:val="normaltextrun"/>
                <w:rFonts w:asciiTheme="minorHAnsi" w:hAnsiTheme="minorHAnsi" w:cstheme="minorHAnsi"/>
                <w:color w:val="000000" w:themeColor="text1"/>
              </w:rPr>
              <w:t xml:space="preserve"> </w:t>
            </w:r>
            <w:r w:rsidR="00804822">
              <w:rPr>
                <w:rStyle w:val="normaltextrun"/>
                <w:rFonts w:asciiTheme="minorHAnsi" w:hAnsiTheme="minorHAnsi" w:cstheme="minorHAnsi"/>
                <w:color w:val="000000" w:themeColor="text1"/>
              </w:rPr>
              <w:t>(</w:t>
            </w:r>
            <w:r w:rsidR="00804822" w:rsidRPr="00804822">
              <w:rPr>
                <w:rFonts w:asciiTheme="minorHAnsi" w:hAnsiTheme="minorHAnsi" w:cstheme="minorHAnsi"/>
              </w:rPr>
              <w:t>5123-9-42</w:t>
            </w:r>
            <w:r w:rsidR="00804822">
              <w:rPr>
                <w:rFonts w:asciiTheme="minorHAnsi" w:hAnsiTheme="minorHAnsi" w:cstheme="minorHAnsi"/>
              </w:rPr>
              <w:t>)</w:t>
            </w:r>
            <w:r w:rsidRPr="00CF0DA4">
              <w:rPr>
                <w:rStyle w:val="normaltextrun"/>
                <w:rFonts w:asciiTheme="minorHAnsi" w:hAnsiTheme="minorHAnsi" w:cstheme="minorHAnsi"/>
                <w:color w:val="000000" w:themeColor="text1"/>
              </w:rPr>
              <w:t>:</w:t>
            </w:r>
          </w:p>
          <w:p w14:paraId="1BD7783E" w14:textId="77777777" w:rsidR="00CF0DA4" w:rsidRPr="00804822" w:rsidRDefault="00CF0DA4" w:rsidP="00F86989">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5F88ACC8" w14:textId="0822917D" w:rsidR="00B35E8F" w:rsidRPr="00804822" w:rsidRDefault="00804822" w:rsidP="00804822">
            <w:pPr>
              <w:pStyle w:val="paragraph"/>
              <w:spacing w:before="0" w:beforeAutospacing="0" w:after="0" w:afterAutospacing="0"/>
              <w:textAlignment w:val="baseline"/>
              <w:rPr>
                <w:rStyle w:val="normaltextrun"/>
                <w:rFonts w:asciiTheme="minorHAnsi" w:hAnsiTheme="minorHAnsi" w:cstheme="minorHAnsi"/>
                <w:i/>
                <w:iCs/>
                <w:color w:val="000000" w:themeColor="text1"/>
              </w:rPr>
            </w:pPr>
            <w:r w:rsidRPr="00804822">
              <w:rPr>
                <w:rFonts w:asciiTheme="minorHAnsi" w:hAnsiTheme="minorHAnsi" w:cstheme="minorHAnsi"/>
                <w:i/>
                <w:iCs/>
              </w:rPr>
              <w:t>A service and support administrator may initially authorize tier I basic employment skills training for a maximum period of two years.  Beyond two years, a service and support administrator may authorize up to two one-year extensions.  Beyond four years, the department will monitor authorization of tier I basic employment skills training to ensure the service is being authorized and delivered in accordance with this rule.  Monitoring by the department will consist of data review, technical assistance to providers and county boards, and routine or special compliance reviews, as warranted.</w:t>
            </w:r>
            <w:r w:rsidRPr="00804822">
              <w:rPr>
                <w:rStyle w:val="normaltextrun"/>
                <w:rFonts w:asciiTheme="minorHAnsi" w:hAnsiTheme="minorHAnsi" w:cstheme="minorHAnsi"/>
                <w:i/>
                <w:iCs/>
                <w:color w:val="000000" w:themeColor="text1"/>
              </w:rPr>
              <w:t xml:space="preserve"> </w:t>
            </w:r>
          </w:p>
          <w:p w14:paraId="38077AA9" w14:textId="77777777" w:rsidR="00804822" w:rsidRPr="00CF0DA4" w:rsidRDefault="00804822" w:rsidP="00804822">
            <w:pPr>
              <w:pStyle w:val="paragraph"/>
              <w:spacing w:before="0" w:beforeAutospacing="0" w:after="0" w:afterAutospacing="0"/>
              <w:textAlignment w:val="baseline"/>
              <w:rPr>
                <w:rFonts w:cstheme="minorHAnsi"/>
              </w:rPr>
            </w:pPr>
          </w:p>
          <w:p w14:paraId="504979C5" w14:textId="77777777" w:rsidR="009A1A93" w:rsidRDefault="009A1A93" w:rsidP="009A1A93">
            <w:pPr>
              <w:tabs>
                <w:tab w:val="left" w:pos="4433"/>
              </w:tabs>
              <w:rPr>
                <w:sz w:val="24"/>
                <w:szCs w:val="24"/>
              </w:rPr>
            </w:pPr>
            <w:r w:rsidRPr="0859B78F">
              <w:rPr>
                <w:sz w:val="24"/>
                <w:szCs w:val="24"/>
              </w:rPr>
              <w:t xml:space="preserve">There will be no limit to the number of available extensions.   </w:t>
            </w:r>
          </w:p>
          <w:p w14:paraId="5147066F" w14:textId="77777777" w:rsidR="009A1A93" w:rsidRDefault="009A1A93" w:rsidP="009A1A93">
            <w:pPr>
              <w:rPr>
                <w:sz w:val="24"/>
                <w:szCs w:val="24"/>
              </w:rPr>
            </w:pPr>
          </w:p>
          <w:p w14:paraId="2CCEC3DD" w14:textId="6FFB1FE0" w:rsidR="009A1A93" w:rsidRPr="00A57CDB" w:rsidRDefault="009A1A93" w:rsidP="009A1A93">
            <w:pPr>
              <w:rPr>
                <w:sz w:val="24"/>
                <w:szCs w:val="24"/>
              </w:rPr>
            </w:pPr>
            <w:r w:rsidRPr="0859B78F">
              <w:rPr>
                <w:sz w:val="24"/>
                <w:szCs w:val="24"/>
              </w:rPr>
              <w:t>Rates/Cost of Doing Business Categories continue as identified in rule but discontinue the</w:t>
            </w:r>
            <w:r w:rsidRPr="00A57CDB">
              <w:rPr>
                <w:sz w:val="24"/>
                <w:szCs w:val="24"/>
              </w:rPr>
              <w:t xml:space="preserve"> Vocational Habilitation Provided In-Person in an Integrated Community Setting for a Group of Four or Fewer Individuals (Effective when Voc. Hab moves to BEST) </w:t>
            </w:r>
            <w:r w:rsidR="005F0CA9">
              <w:rPr>
                <w:sz w:val="24"/>
                <w:szCs w:val="24"/>
              </w:rPr>
              <w:t xml:space="preserve">. </w:t>
            </w:r>
            <w:r w:rsidR="005F0CA9">
              <w:rPr>
                <w:rStyle w:val="ui-provider"/>
              </w:rPr>
              <w:t xml:space="preserve"> </w:t>
            </w:r>
            <w:proofErr w:type="gramStart"/>
            <w:r w:rsidR="005F0CA9" w:rsidRPr="0003141F">
              <w:rPr>
                <w:rStyle w:val="ui-provider"/>
                <w:sz w:val="24"/>
                <w:szCs w:val="24"/>
              </w:rPr>
              <w:t>Proposal</w:t>
            </w:r>
            <w:proofErr w:type="gramEnd"/>
            <w:r w:rsidR="005F0CA9" w:rsidRPr="0003141F">
              <w:rPr>
                <w:rStyle w:val="ui-provider"/>
                <w:sz w:val="24"/>
                <w:szCs w:val="24"/>
              </w:rPr>
              <w:t xml:space="preserve"> is for this to move to GES.</w:t>
            </w:r>
          </w:p>
          <w:p w14:paraId="133CD293" w14:textId="77777777" w:rsidR="009A1A93" w:rsidRPr="00A57CDB" w:rsidRDefault="009A1A93" w:rsidP="009A1A93">
            <w:pPr>
              <w:rPr>
                <w:sz w:val="24"/>
                <w:szCs w:val="24"/>
              </w:rPr>
            </w:pPr>
          </w:p>
          <w:p w14:paraId="00711AD1" w14:textId="1F670A5A" w:rsidR="009A1A93" w:rsidRDefault="009A1A93" w:rsidP="009A1A93">
            <w:pPr>
              <w:tabs>
                <w:tab w:val="left" w:pos="4433"/>
              </w:tabs>
              <w:rPr>
                <w:sz w:val="24"/>
                <w:szCs w:val="24"/>
              </w:rPr>
            </w:pPr>
            <w:r w:rsidRPr="00A57CDB">
              <w:rPr>
                <w:sz w:val="24"/>
                <w:szCs w:val="24"/>
              </w:rPr>
              <w:t>Employment First Rule continues as written, no changes.</w:t>
            </w:r>
          </w:p>
        </w:tc>
        <w:tc>
          <w:tcPr>
            <w:tcW w:w="5385" w:type="dxa"/>
          </w:tcPr>
          <w:p w14:paraId="73AE7AC9" w14:textId="42D375BF" w:rsidR="7253B822" w:rsidRDefault="7253B822" w:rsidP="0859B78F">
            <w:pPr>
              <w:rPr>
                <w:b/>
                <w:bCs/>
                <w:sz w:val="24"/>
                <w:szCs w:val="24"/>
              </w:rPr>
            </w:pPr>
            <w:r w:rsidRPr="0859B78F">
              <w:rPr>
                <w:b/>
                <w:bCs/>
                <w:sz w:val="24"/>
                <w:szCs w:val="24"/>
              </w:rPr>
              <w:lastRenderedPageBreak/>
              <w:t xml:space="preserve">Maintain </w:t>
            </w:r>
            <w:r w:rsidR="0AC735BF" w:rsidRPr="0859B78F">
              <w:rPr>
                <w:b/>
                <w:bCs/>
                <w:sz w:val="24"/>
                <w:szCs w:val="24"/>
              </w:rPr>
              <w:t>Group Employment Supports as a supported employment servic</w:t>
            </w:r>
            <w:r w:rsidR="20384AD4" w:rsidRPr="0859B78F">
              <w:rPr>
                <w:b/>
                <w:bCs/>
                <w:sz w:val="24"/>
                <w:szCs w:val="24"/>
              </w:rPr>
              <w:t>e with no time limits</w:t>
            </w:r>
            <w:r w:rsidR="1BDE0E16" w:rsidRPr="0859B78F">
              <w:rPr>
                <w:b/>
                <w:bCs/>
                <w:sz w:val="24"/>
                <w:szCs w:val="24"/>
              </w:rPr>
              <w:t xml:space="preserve">. Waiver Category- Supported Employment. </w:t>
            </w:r>
          </w:p>
          <w:p w14:paraId="2FE8AF20" w14:textId="77777777" w:rsidR="009A1A93" w:rsidRDefault="009A1A93" w:rsidP="0859B78F">
            <w:pPr>
              <w:rPr>
                <w:sz w:val="24"/>
                <w:szCs w:val="24"/>
              </w:rPr>
            </w:pPr>
          </w:p>
          <w:p w14:paraId="023387FF" w14:textId="0C0B7DE0" w:rsidR="3C1BADE1" w:rsidRDefault="3C1BADE1" w:rsidP="0859B78F">
            <w:pPr>
              <w:rPr>
                <w:sz w:val="24"/>
                <w:szCs w:val="24"/>
              </w:rPr>
            </w:pPr>
            <w:r w:rsidRPr="0859B78F">
              <w:rPr>
                <w:sz w:val="24"/>
                <w:szCs w:val="24"/>
              </w:rPr>
              <w:t>Rates/Cost of Doing Business Categories continue as identified in rule but</w:t>
            </w:r>
            <w:r w:rsidR="3F13E3DE" w:rsidRPr="0859B78F">
              <w:rPr>
                <w:sz w:val="24"/>
                <w:szCs w:val="24"/>
              </w:rPr>
              <w:t xml:space="preserve"> modify group ratios to support groups of 2:1 for Acuity C and 4:1 for acuities A/B.</w:t>
            </w:r>
          </w:p>
          <w:p w14:paraId="27917A86" w14:textId="7E95D2CC" w:rsidR="0859B78F" w:rsidRDefault="0859B78F" w:rsidP="0859B78F">
            <w:pPr>
              <w:rPr>
                <w:sz w:val="24"/>
                <w:szCs w:val="24"/>
              </w:rPr>
            </w:pPr>
          </w:p>
          <w:p w14:paraId="167F3416" w14:textId="5AC1370A" w:rsidR="6C1E3B15" w:rsidRDefault="6C1E3B15" w:rsidP="0859B78F">
            <w:pPr>
              <w:rPr>
                <w:sz w:val="24"/>
                <w:szCs w:val="24"/>
              </w:rPr>
            </w:pPr>
            <w:r w:rsidRPr="0859B78F">
              <w:rPr>
                <w:sz w:val="24"/>
                <w:szCs w:val="24"/>
              </w:rPr>
              <w:t>Employment First Rule continues as written, no changes</w:t>
            </w:r>
            <w:r w:rsidR="009A1A93">
              <w:rPr>
                <w:sz w:val="24"/>
                <w:szCs w:val="24"/>
              </w:rPr>
              <w:t>.</w:t>
            </w:r>
          </w:p>
          <w:p w14:paraId="76FAFF63" w14:textId="77777777" w:rsidR="009A1A93" w:rsidRDefault="009A1A93" w:rsidP="0859B78F">
            <w:pPr>
              <w:rPr>
                <w:sz w:val="24"/>
                <w:szCs w:val="24"/>
              </w:rPr>
            </w:pPr>
          </w:p>
          <w:p w14:paraId="323C9F8A" w14:textId="65F19661" w:rsidR="009A1A93" w:rsidRDefault="009A1A93" w:rsidP="0859B78F">
            <w:pPr>
              <w:rPr>
                <w:sz w:val="24"/>
                <w:szCs w:val="24"/>
              </w:rPr>
            </w:pPr>
            <w:r w:rsidRPr="0859B78F">
              <w:rPr>
                <w:sz w:val="24"/>
                <w:szCs w:val="24"/>
              </w:rPr>
              <w:t xml:space="preserve">Change in the </w:t>
            </w:r>
            <w:r>
              <w:rPr>
                <w:sz w:val="24"/>
                <w:szCs w:val="24"/>
              </w:rPr>
              <w:t xml:space="preserve">GES </w:t>
            </w:r>
            <w:r w:rsidRPr="0859B78F">
              <w:rPr>
                <w:sz w:val="24"/>
                <w:szCs w:val="24"/>
              </w:rPr>
              <w:t xml:space="preserve">rule:  The expected outcome of group employment support is paid employment </w:t>
            </w:r>
            <w:r w:rsidRPr="0859B78F">
              <w:rPr>
                <w:i/>
                <w:iCs/>
                <w:sz w:val="24"/>
                <w:szCs w:val="24"/>
              </w:rPr>
              <w:t>and/or</w:t>
            </w:r>
            <w:r w:rsidRPr="0859B78F">
              <w:rPr>
                <w:sz w:val="24"/>
                <w:szCs w:val="24"/>
              </w:rPr>
              <w:t xml:space="preserve"> work experience leading to further career development.</w:t>
            </w:r>
          </w:p>
          <w:p w14:paraId="517A9B97" w14:textId="77777777" w:rsidR="009A1A93" w:rsidRDefault="009A1A93" w:rsidP="0859B78F">
            <w:pPr>
              <w:rPr>
                <w:sz w:val="24"/>
                <w:szCs w:val="24"/>
              </w:rPr>
            </w:pPr>
          </w:p>
          <w:p w14:paraId="0217A5CA" w14:textId="1B521FF0" w:rsidR="009A1A93" w:rsidRDefault="009A1A93" w:rsidP="009A1A93">
            <w:pPr>
              <w:rPr>
                <w:sz w:val="24"/>
                <w:szCs w:val="24"/>
              </w:rPr>
            </w:pPr>
            <w:r>
              <w:rPr>
                <w:sz w:val="24"/>
                <w:szCs w:val="24"/>
              </w:rPr>
              <w:t xml:space="preserve"> </w:t>
            </w:r>
          </w:p>
          <w:p w14:paraId="164E292D" w14:textId="6A50080F" w:rsidR="009A1A93" w:rsidRDefault="009A1A93" w:rsidP="009A1A93">
            <w:pPr>
              <w:rPr>
                <w:sz w:val="24"/>
                <w:szCs w:val="24"/>
              </w:rPr>
            </w:pPr>
          </w:p>
          <w:p w14:paraId="4F8E62A9" w14:textId="77777777" w:rsidR="009A1A93" w:rsidRDefault="009A1A93" w:rsidP="009A1A93">
            <w:pPr>
              <w:rPr>
                <w:sz w:val="24"/>
                <w:szCs w:val="24"/>
              </w:rPr>
            </w:pPr>
          </w:p>
          <w:p w14:paraId="613D9C47" w14:textId="77777777" w:rsidR="009A1A93" w:rsidRDefault="009A1A93" w:rsidP="0859B78F">
            <w:pPr>
              <w:rPr>
                <w:sz w:val="24"/>
                <w:szCs w:val="24"/>
              </w:rPr>
            </w:pPr>
          </w:p>
          <w:p w14:paraId="609221BF" w14:textId="0E2918D1" w:rsidR="009A1A93" w:rsidRDefault="009A1A93" w:rsidP="0859B78F">
            <w:pPr>
              <w:rPr>
                <w:sz w:val="24"/>
                <w:szCs w:val="24"/>
              </w:rPr>
            </w:pPr>
          </w:p>
        </w:tc>
      </w:tr>
    </w:tbl>
    <w:p w14:paraId="473B6B4F" w14:textId="5AE54D48" w:rsidR="00207433" w:rsidRPr="00BE7CB1" w:rsidRDefault="00207433" w:rsidP="0859B78F">
      <w:pPr>
        <w:rPr>
          <w:b/>
          <w:bCs/>
          <w:sz w:val="24"/>
          <w:szCs w:val="24"/>
        </w:rPr>
      </w:pPr>
    </w:p>
    <w:sectPr w:rsidR="00207433" w:rsidRPr="00BE7CB1">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4AC2A" w14:textId="77777777" w:rsidR="008E26FC" w:rsidRDefault="008E26FC" w:rsidP="00076DAD">
      <w:pPr>
        <w:spacing w:after="0" w:line="240" w:lineRule="auto"/>
      </w:pPr>
      <w:r>
        <w:separator/>
      </w:r>
    </w:p>
  </w:endnote>
  <w:endnote w:type="continuationSeparator" w:id="0">
    <w:p w14:paraId="5FE4B9E9" w14:textId="77777777" w:rsidR="008E26FC" w:rsidRDefault="008E26FC" w:rsidP="0007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F76C" w14:textId="77777777" w:rsidR="00076DAD" w:rsidRDefault="00076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9C06" w14:textId="28E10363" w:rsidR="0859B78F" w:rsidRDefault="0859B78F" w:rsidP="0859B78F">
    <w:pPr>
      <w:pStyle w:val="Footer"/>
      <w:jc w:val="center"/>
    </w:pPr>
    <w:r>
      <w:fldChar w:fldCharType="begin"/>
    </w:r>
    <w:r>
      <w:instrText>PAGE</w:instrText>
    </w:r>
    <w:r>
      <w:fldChar w:fldCharType="separate"/>
    </w:r>
    <w:r w:rsidR="009A1A93">
      <w:rPr>
        <w:noProof/>
      </w:rPr>
      <w:t>1</w:t>
    </w:r>
    <w:r>
      <w:fldChar w:fldCharType="end"/>
    </w:r>
  </w:p>
  <w:p w14:paraId="56E7A9C0" w14:textId="77777777" w:rsidR="00076DAD" w:rsidRDefault="00076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8288" w14:textId="77777777" w:rsidR="00076DAD" w:rsidRDefault="0007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AF92" w14:textId="77777777" w:rsidR="008E26FC" w:rsidRDefault="008E26FC" w:rsidP="00076DAD">
      <w:pPr>
        <w:spacing w:after="0" w:line="240" w:lineRule="auto"/>
      </w:pPr>
      <w:r>
        <w:separator/>
      </w:r>
    </w:p>
  </w:footnote>
  <w:footnote w:type="continuationSeparator" w:id="0">
    <w:p w14:paraId="4C44C1B1" w14:textId="77777777" w:rsidR="008E26FC" w:rsidRDefault="008E26FC" w:rsidP="00076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63EE" w14:textId="77777777" w:rsidR="00076DAD" w:rsidRDefault="00076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F87D" w14:textId="58FACEEB" w:rsidR="0859B78F" w:rsidRDefault="0859B78F" w:rsidP="0859B78F">
    <w:pPr>
      <w:pStyle w:val="Header"/>
      <w:jc w:val="center"/>
    </w:pPr>
    <w:r>
      <w:fldChar w:fldCharType="begin"/>
    </w:r>
    <w:r>
      <w:instrText>PAGE</w:instrText>
    </w:r>
    <w:r>
      <w:fldChar w:fldCharType="separate"/>
    </w:r>
    <w:r w:rsidR="009A1A93">
      <w:rPr>
        <w:noProof/>
      </w:rPr>
      <w:t>1</w:t>
    </w:r>
    <w:r>
      <w:fldChar w:fldCharType="end"/>
    </w:r>
    <w:r>
      <w:t xml:space="preserve"> of </w:t>
    </w:r>
    <w:r>
      <w:fldChar w:fldCharType="begin"/>
    </w:r>
    <w:r>
      <w:instrText>NUMPAGES</w:instrText>
    </w:r>
    <w:r>
      <w:fldChar w:fldCharType="separate"/>
    </w:r>
    <w:r w:rsidR="009A1A93">
      <w:rPr>
        <w:noProof/>
      </w:rPr>
      <w:t>2</w:t>
    </w:r>
    <w:r>
      <w:fldChar w:fldCharType="end"/>
    </w:r>
  </w:p>
  <w:sdt>
    <w:sdtPr>
      <w:id w:val="1362007600"/>
      <w:docPartObj>
        <w:docPartGallery w:val="Watermarks"/>
        <w:docPartUnique/>
      </w:docPartObj>
    </w:sdtPr>
    <w:sdtContent>
      <w:p w14:paraId="6C12192F" w14:textId="5D1FF27E" w:rsidR="00076DAD" w:rsidRDefault="00000000">
        <w:pPr>
          <w:pStyle w:val="Header"/>
        </w:pPr>
        <w:r>
          <w:rPr>
            <w:noProof/>
          </w:rPr>
          <w:pict w14:anchorId="16837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589F" w14:textId="77777777" w:rsidR="00076DAD" w:rsidRDefault="00076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E2B"/>
    <w:multiLevelType w:val="hybridMultilevel"/>
    <w:tmpl w:val="4276FD6C"/>
    <w:lvl w:ilvl="0" w:tplc="D08C3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B2B7E"/>
    <w:multiLevelType w:val="hybridMultilevel"/>
    <w:tmpl w:val="683C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714A5"/>
    <w:multiLevelType w:val="multilevel"/>
    <w:tmpl w:val="86FC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824AD"/>
    <w:multiLevelType w:val="hybridMultilevel"/>
    <w:tmpl w:val="26ECA696"/>
    <w:lvl w:ilvl="0" w:tplc="7E2A9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C703B"/>
    <w:multiLevelType w:val="hybridMultilevel"/>
    <w:tmpl w:val="A3E4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A5245"/>
    <w:multiLevelType w:val="multilevel"/>
    <w:tmpl w:val="D960B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57FDC"/>
    <w:multiLevelType w:val="hybridMultilevel"/>
    <w:tmpl w:val="DEF0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30C5A"/>
    <w:multiLevelType w:val="hybridMultilevel"/>
    <w:tmpl w:val="3C04F36C"/>
    <w:lvl w:ilvl="0" w:tplc="06041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5039EA"/>
    <w:multiLevelType w:val="hybridMultilevel"/>
    <w:tmpl w:val="92CC2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91168121">
    <w:abstractNumId w:val="5"/>
  </w:num>
  <w:num w:numId="2" w16cid:durableId="1610774080">
    <w:abstractNumId w:val="6"/>
  </w:num>
  <w:num w:numId="3" w16cid:durableId="374816650">
    <w:abstractNumId w:val="2"/>
  </w:num>
  <w:num w:numId="4" w16cid:durableId="1665889646">
    <w:abstractNumId w:val="8"/>
  </w:num>
  <w:num w:numId="5" w16cid:durableId="890111939">
    <w:abstractNumId w:val="0"/>
  </w:num>
  <w:num w:numId="6" w16cid:durableId="692415753">
    <w:abstractNumId w:val="3"/>
  </w:num>
  <w:num w:numId="7" w16cid:durableId="1280255458">
    <w:abstractNumId w:val="7"/>
  </w:num>
  <w:num w:numId="8" w16cid:durableId="1995990354">
    <w:abstractNumId w:val="1"/>
  </w:num>
  <w:num w:numId="9" w16cid:durableId="545066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F0"/>
    <w:rsid w:val="000204F4"/>
    <w:rsid w:val="00025B1C"/>
    <w:rsid w:val="0003141F"/>
    <w:rsid w:val="00040ADD"/>
    <w:rsid w:val="00076DAD"/>
    <w:rsid w:val="0010331C"/>
    <w:rsid w:val="00202A5D"/>
    <w:rsid w:val="00207433"/>
    <w:rsid w:val="00252D33"/>
    <w:rsid w:val="003220B9"/>
    <w:rsid w:val="00337DAC"/>
    <w:rsid w:val="00347727"/>
    <w:rsid w:val="00407E73"/>
    <w:rsid w:val="00450B16"/>
    <w:rsid w:val="005255A3"/>
    <w:rsid w:val="00587C5A"/>
    <w:rsid w:val="005C343C"/>
    <w:rsid w:val="005F0CA9"/>
    <w:rsid w:val="005F55ED"/>
    <w:rsid w:val="0065453D"/>
    <w:rsid w:val="00660BAB"/>
    <w:rsid w:val="007475DE"/>
    <w:rsid w:val="007B264E"/>
    <w:rsid w:val="00804822"/>
    <w:rsid w:val="008E26FC"/>
    <w:rsid w:val="008F3BF0"/>
    <w:rsid w:val="009A1A93"/>
    <w:rsid w:val="00A57CDB"/>
    <w:rsid w:val="00AC6B08"/>
    <w:rsid w:val="00B00F6B"/>
    <w:rsid w:val="00B0288E"/>
    <w:rsid w:val="00B35E8F"/>
    <w:rsid w:val="00B734BE"/>
    <w:rsid w:val="00BA4C14"/>
    <w:rsid w:val="00BE7CB1"/>
    <w:rsid w:val="00C062FA"/>
    <w:rsid w:val="00C53D51"/>
    <w:rsid w:val="00C5795C"/>
    <w:rsid w:val="00C733EB"/>
    <w:rsid w:val="00CA55FC"/>
    <w:rsid w:val="00CC70D5"/>
    <w:rsid w:val="00CF0DA4"/>
    <w:rsid w:val="00D80CC8"/>
    <w:rsid w:val="00DE3A49"/>
    <w:rsid w:val="00E269F7"/>
    <w:rsid w:val="00E93284"/>
    <w:rsid w:val="00EA4C0A"/>
    <w:rsid w:val="00F4599B"/>
    <w:rsid w:val="00F52B91"/>
    <w:rsid w:val="00F80358"/>
    <w:rsid w:val="00F86989"/>
    <w:rsid w:val="058AD0E9"/>
    <w:rsid w:val="05B15712"/>
    <w:rsid w:val="070CA507"/>
    <w:rsid w:val="07B1740D"/>
    <w:rsid w:val="0859B78F"/>
    <w:rsid w:val="0973B96E"/>
    <w:rsid w:val="0A84C835"/>
    <w:rsid w:val="0AC735BF"/>
    <w:rsid w:val="0BD3B813"/>
    <w:rsid w:val="0DBC68F7"/>
    <w:rsid w:val="0F82D8FA"/>
    <w:rsid w:val="11536EAC"/>
    <w:rsid w:val="115F7E9F"/>
    <w:rsid w:val="11960F69"/>
    <w:rsid w:val="13017357"/>
    <w:rsid w:val="1368FF7E"/>
    <w:rsid w:val="136A74B0"/>
    <w:rsid w:val="1454D6C8"/>
    <w:rsid w:val="157804ED"/>
    <w:rsid w:val="173C2D9C"/>
    <w:rsid w:val="1BDE0E16"/>
    <w:rsid w:val="1CFBA035"/>
    <w:rsid w:val="1DB96464"/>
    <w:rsid w:val="1E317E1B"/>
    <w:rsid w:val="1F0D5D46"/>
    <w:rsid w:val="1F37E8F1"/>
    <w:rsid w:val="20384AD4"/>
    <w:rsid w:val="2048F7B8"/>
    <w:rsid w:val="20B26826"/>
    <w:rsid w:val="22085B48"/>
    <w:rsid w:val="223BEB4D"/>
    <w:rsid w:val="2260DE92"/>
    <w:rsid w:val="24633EFB"/>
    <w:rsid w:val="27A2D69A"/>
    <w:rsid w:val="2D9F9477"/>
    <w:rsid w:val="2DCE572B"/>
    <w:rsid w:val="302DC60A"/>
    <w:rsid w:val="3187302D"/>
    <w:rsid w:val="337FDA71"/>
    <w:rsid w:val="3555C3C3"/>
    <w:rsid w:val="368F3C5B"/>
    <w:rsid w:val="3717FFE5"/>
    <w:rsid w:val="38F30ABA"/>
    <w:rsid w:val="3A2C6704"/>
    <w:rsid w:val="3B4A08CC"/>
    <w:rsid w:val="3BED287A"/>
    <w:rsid w:val="3C1BADE1"/>
    <w:rsid w:val="3D05DD8A"/>
    <w:rsid w:val="3DD12AEF"/>
    <w:rsid w:val="3E5E5540"/>
    <w:rsid w:val="3E786F0F"/>
    <w:rsid w:val="3EB7D955"/>
    <w:rsid w:val="3F13E3DE"/>
    <w:rsid w:val="41E7A7BB"/>
    <w:rsid w:val="45377598"/>
    <w:rsid w:val="4A0AE6BB"/>
    <w:rsid w:val="4B868EC7"/>
    <w:rsid w:val="4D169088"/>
    <w:rsid w:val="4E1D2213"/>
    <w:rsid w:val="4EAD0266"/>
    <w:rsid w:val="4EB260E9"/>
    <w:rsid w:val="4F256570"/>
    <w:rsid w:val="50E99EE5"/>
    <w:rsid w:val="523088DF"/>
    <w:rsid w:val="58B6521A"/>
    <w:rsid w:val="5918C689"/>
    <w:rsid w:val="59C00AA9"/>
    <w:rsid w:val="5AD2B775"/>
    <w:rsid w:val="5AFBA51B"/>
    <w:rsid w:val="5DA95712"/>
    <w:rsid w:val="5E7771A6"/>
    <w:rsid w:val="5F0832C4"/>
    <w:rsid w:val="630D2F54"/>
    <w:rsid w:val="640A85DA"/>
    <w:rsid w:val="645A1149"/>
    <w:rsid w:val="67E215A9"/>
    <w:rsid w:val="697DE60A"/>
    <w:rsid w:val="6C1E3B15"/>
    <w:rsid w:val="6E2AD104"/>
    <w:rsid w:val="6F24043D"/>
    <w:rsid w:val="7141E9BE"/>
    <w:rsid w:val="7253B822"/>
    <w:rsid w:val="765C6912"/>
    <w:rsid w:val="78D2D409"/>
    <w:rsid w:val="799FD36A"/>
    <w:rsid w:val="7A4057BD"/>
    <w:rsid w:val="7D813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7C419"/>
  <w15:chartTrackingRefBased/>
  <w15:docId w15:val="{F5390B9D-EF53-44B9-B1EF-6BFD656E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599B"/>
    <w:rPr>
      <w:b/>
      <w:bCs/>
    </w:rPr>
  </w:style>
  <w:style w:type="paragraph" w:styleId="ListParagraph">
    <w:name w:val="List Paragraph"/>
    <w:basedOn w:val="Normal"/>
    <w:uiPriority w:val="34"/>
    <w:qFormat/>
    <w:rsid w:val="00F4599B"/>
    <w:pPr>
      <w:ind w:left="720"/>
      <w:contextualSpacing/>
    </w:pPr>
  </w:style>
  <w:style w:type="paragraph" w:styleId="Header">
    <w:name w:val="header"/>
    <w:basedOn w:val="Normal"/>
    <w:link w:val="HeaderChar"/>
    <w:uiPriority w:val="99"/>
    <w:unhideWhenUsed/>
    <w:rsid w:val="00076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DAD"/>
  </w:style>
  <w:style w:type="paragraph" w:styleId="Footer">
    <w:name w:val="footer"/>
    <w:basedOn w:val="Normal"/>
    <w:link w:val="FooterChar"/>
    <w:uiPriority w:val="99"/>
    <w:unhideWhenUsed/>
    <w:rsid w:val="00076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DA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A1A93"/>
    <w:pPr>
      <w:spacing w:after="0" w:line="240" w:lineRule="auto"/>
    </w:pPr>
  </w:style>
  <w:style w:type="paragraph" w:customStyle="1" w:styleId="paragraph">
    <w:name w:val="paragraph"/>
    <w:basedOn w:val="Normal"/>
    <w:rsid w:val="00F869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86989"/>
  </w:style>
  <w:style w:type="character" w:customStyle="1" w:styleId="eop">
    <w:name w:val="eop"/>
    <w:basedOn w:val="DefaultParagraphFont"/>
    <w:rsid w:val="00F86989"/>
  </w:style>
  <w:style w:type="character" w:customStyle="1" w:styleId="ui-provider">
    <w:name w:val="ui-provider"/>
    <w:basedOn w:val="DefaultParagraphFont"/>
    <w:rsid w:val="005F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46916">
      <w:bodyDiv w:val="1"/>
      <w:marLeft w:val="0"/>
      <w:marRight w:val="0"/>
      <w:marTop w:val="0"/>
      <w:marBottom w:val="0"/>
      <w:divBdr>
        <w:top w:val="none" w:sz="0" w:space="0" w:color="auto"/>
        <w:left w:val="none" w:sz="0" w:space="0" w:color="auto"/>
        <w:bottom w:val="none" w:sz="0" w:space="0" w:color="auto"/>
        <w:right w:val="none" w:sz="0" w:space="0" w:color="auto"/>
      </w:divBdr>
    </w:div>
    <w:div w:id="1234509323">
      <w:bodyDiv w:val="1"/>
      <w:marLeft w:val="0"/>
      <w:marRight w:val="0"/>
      <w:marTop w:val="0"/>
      <w:marBottom w:val="0"/>
      <w:divBdr>
        <w:top w:val="none" w:sz="0" w:space="0" w:color="auto"/>
        <w:left w:val="none" w:sz="0" w:space="0" w:color="auto"/>
        <w:bottom w:val="none" w:sz="0" w:space="0" w:color="auto"/>
        <w:right w:val="none" w:sz="0" w:space="0" w:color="auto"/>
      </w:divBdr>
    </w:div>
    <w:div w:id="1512793691">
      <w:bodyDiv w:val="1"/>
      <w:marLeft w:val="0"/>
      <w:marRight w:val="0"/>
      <w:marTop w:val="0"/>
      <w:marBottom w:val="0"/>
      <w:divBdr>
        <w:top w:val="none" w:sz="0" w:space="0" w:color="auto"/>
        <w:left w:val="none" w:sz="0" w:space="0" w:color="auto"/>
        <w:bottom w:val="none" w:sz="0" w:space="0" w:color="auto"/>
        <w:right w:val="none" w:sz="0" w:space="0" w:color="auto"/>
      </w:divBdr>
    </w:div>
    <w:div w:id="1557277743">
      <w:bodyDiv w:val="1"/>
      <w:marLeft w:val="0"/>
      <w:marRight w:val="0"/>
      <w:marTop w:val="0"/>
      <w:marBottom w:val="0"/>
      <w:divBdr>
        <w:top w:val="none" w:sz="0" w:space="0" w:color="auto"/>
        <w:left w:val="none" w:sz="0" w:space="0" w:color="auto"/>
        <w:bottom w:val="none" w:sz="0" w:space="0" w:color="auto"/>
        <w:right w:val="none" w:sz="0" w:space="0" w:color="auto"/>
      </w:divBdr>
    </w:div>
    <w:div w:id="1998410370">
      <w:bodyDiv w:val="1"/>
      <w:marLeft w:val="0"/>
      <w:marRight w:val="0"/>
      <w:marTop w:val="0"/>
      <w:marBottom w:val="0"/>
      <w:divBdr>
        <w:top w:val="none" w:sz="0" w:space="0" w:color="auto"/>
        <w:left w:val="none" w:sz="0" w:space="0" w:color="auto"/>
        <w:bottom w:val="none" w:sz="0" w:space="0" w:color="auto"/>
        <w:right w:val="none" w:sz="0" w:space="0" w:color="auto"/>
      </w:divBdr>
      <w:divsChild>
        <w:div w:id="646054218">
          <w:marLeft w:val="0"/>
          <w:marRight w:val="0"/>
          <w:marTop w:val="0"/>
          <w:marBottom w:val="0"/>
          <w:divBdr>
            <w:top w:val="none" w:sz="0" w:space="0" w:color="auto"/>
            <w:left w:val="none" w:sz="0" w:space="0" w:color="auto"/>
            <w:bottom w:val="none" w:sz="0" w:space="0" w:color="auto"/>
            <w:right w:val="none" w:sz="0" w:space="0" w:color="auto"/>
          </w:divBdr>
        </w:div>
        <w:div w:id="7945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dd.ohio.gov/about-us/support-tea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Banner, Keith</dc:creator>
  <cp:keywords/>
  <dc:description/>
  <cp:lastModifiedBy>Banner, Keith</cp:lastModifiedBy>
  <cp:revision>5</cp:revision>
  <dcterms:created xsi:type="dcterms:W3CDTF">2023-12-07T18:08:00Z</dcterms:created>
  <dcterms:modified xsi:type="dcterms:W3CDTF">2023-12-11T14:39:00Z</dcterms:modified>
</cp:coreProperties>
</file>